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A6FD8" w14:textId="77777777" w:rsidR="00035307" w:rsidRDefault="00A614AD">
      <w:pPr>
        <w:spacing w:before="2200" w:after="160"/>
        <w:jc w:val="center"/>
      </w:pPr>
      <w:r>
        <w:rPr>
          <w:rFonts w:ascii="Aptos Display" w:hAnsi="Aptos Display"/>
          <w:b/>
          <w:color w:val="22406C"/>
          <w:sz w:val="56"/>
        </w:rPr>
        <w:t>Documento técnico de infraestructura del proyecto</w:t>
      </w:r>
    </w:p>
    <w:p w14:paraId="1FC1A04A" w14:textId="77777777" w:rsidR="00035307" w:rsidRDefault="00A614AD">
      <w:pPr>
        <w:spacing w:after="160"/>
        <w:jc w:val="center"/>
      </w:pPr>
      <w:r>
        <w:rPr>
          <w:color w:val="426391"/>
          <w:sz w:val="30"/>
        </w:rPr>
        <w:t>Evaluación de n8n como herramienta para la integración de servicios digitales en el contexto de ciudades inteligentes</w:t>
      </w:r>
    </w:p>
    <w:tbl>
      <w:tblPr>
        <w:tblW w:w="11157" w:type="dxa"/>
        <w:jc w:val="center"/>
        <w:tblBorders>
          <w:top w:val="single" w:sz="8" w:space="0" w:color="3E5F8A"/>
          <w:left w:val="single" w:sz="8" w:space="0" w:color="3E5F8A"/>
          <w:bottom w:val="single" w:sz="8" w:space="0" w:color="3E5F8A"/>
          <w:right w:val="single" w:sz="8" w:space="0" w:color="3E5F8A"/>
          <w:insideH w:val="single" w:sz="8" w:space="0" w:color="3E5F8A"/>
          <w:insideV w:val="single" w:sz="8" w:space="0" w:color="3E5F8A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6984"/>
      </w:tblGrid>
      <w:tr w:rsidR="00035307" w14:paraId="4B5F64EB" w14:textId="77777777" w:rsidTr="005A260B">
        <w:trPr>
          <w:trHeight w:val="1114"/>
          <w:jc w:val="center"/>
        </w:trPr>
        <w:tc>
          <w:tcPr>
            <w:tcW w:w="4173" w:type="dxa"/>
            <w:shd w:val="clear" w:color="auto" w:fill="7F9BBF"/>
            <w:vAlign w:val="center"/>
          </w:tcPr>
          <w:p w14:paraId="622F0328" w14:textId="77777777" w:rsidR="00035307" w:rsidRDefault="00A614AD">
            <w:pPr>
              <w:spacing w:before="60" w:after="60"/>
            </w:pPr>
            <w:r>
              <w:rPr>
                <w:b/>
                <w:color w:val="FFFFFF"/>
                <w:sz w:val="26"/>
              </w:rPr>
              <w:t>Objeto</w:t>
            </w:r>
          </w:p>
        </w:tc>
        <w:tc>
          <w:tcPr>
            <w:tcW w:w="6984" w:type="dxa"/>
            <w:shd w:val="clear" w:color="auto" w:fill="7F9BBF"/>
            <w:vAlign w:val="center"/>
          </w:tcPr>
          <w:p w14:paraId="4099124A" w14:textId="77777777" w:rsidR="00035307" w:rsidRDefault="00A614AD">
            <w:pPr>
              <w:spacing w:before="60" w:after="60"/>
            </w:pPr>
            <w:r>
              <w:rPr>
                <w:b/>
                <w:color w:val="FFFFFF"/>
                <w:sz w:val="25"/>
              </w:rPr>
              <w:t xml:space="preserve">Documentar la infraestructura real del repositorio, el despliegue local, la </w:t>
            </w:r>
            <w:r>
              <w:rPr>
                <w:b/>
                <w:color w:val="FFFFFF"/>
                <w:sz w:val="25"/>
              </w:rPr>
              <w:t>red de servicios, la persistencia y los artefactos que soportan los casos A y B.</w:t>
            </w:r>
          </w:p>
        </w:tc>
      </w:tr>
      <w:tr w:rsidR="00035307" w14:paraId="79A6FE35" w14:textId="77777777" w:rsidTr="005A260B">
        <w:trPr>
          <w:trHeight w:val="777"/>
          <w:jc w:val="center"/>
        </w:trPr>
        <w:tc>
          <w:tcPr>
            <w:tcW w:w="4173" w:type="dxa"/>
            <w:shd w:val="clear" w:color="auto" w:fill="D9DEE7"/>
            <w:vAlign w:val="center"/>
          </w:tcPr>
          <w:p w14:paraId="25AF6284" w14:textId="77777777" w:rsidR="00035307" w:rsidRDefault="00A614AD">
            <w:pPr>
              <w:spacing w:before="60" w:after="60"/>
            </w:pPr>
            <w:r>
              <w:rPr>
                <w:b/>
                <w:sz w:val="26"/>
              </w:rPr>
              <w:t>Componentes base</w:t>
            </w:r>
          </w:p>
        </w:tc>
        <w:tc>
          <w:tcPr>
            <w:tcW w:w="6984" w:type="dxa"/>
            <w:shd w:val="clear" w:color="auto" w:fill="E9EDF3"/>
            <w:vAlign w:val="center"/>
          </w:tcPr>
          <w:p w14:paraId="54631EF2" w14:textId="77777777" w:rsidR="00035307" w:rsidRDefault="00A614AD">
            <w:pPr>
              <w:spacing w:before="60" w:after="60"/>
            </w:pPr>
            <w:r>
              <w:rPr>
                <w:sz w:val="25"/>
              </w:rPr>
              <w:t>Docker Compose, PostgreSQL, n8n, Metabase, FastAPI mock, workflows JSON, Postman y documentación técnica.</w:t>
            </w:r>
          </w:p>
        </w:tc>
      </w:tr>
      <w:tr w:rsidR="00035307" w14:paraId="6162E75D" w14:textId="77777777" w:rsidTr="005A260B">
        <w:trPr>
          <w:trHeight w:val="777"/>
          <w:jc w:val="center"/>
        </w:trPr>
        <w:tc>
          <w:tcPr>
            <w:tcW w:w="4173" w:type="dxa"/>
            <w:shd w:val="clear" w:color="auto" w:fill="D9DEE7"/>
            <w:vAlign w:val="center"/>
          </w:tcPr>
          <w:p w14:paraId="16731E5C" w14:textId="77777777" w:rsidR="00035307" w:rsidRDefault="00A614AD">
            <w:pPr>
              <w:spacing w:before="60" w:after="60"/>
            </w:pPr>
            <w:r>
              <w:rPr>
                <w:b/>
                <w:sz w:val="26"/>
              </w:rPr>
              <w:t>Alcance</w:t>
            </w:r>
          </w:p>
        </w:tc>
        <w:tc>
          <w:tcPr>
            <w:tcW w:w="6984" w:type="dxa"/>
            <w:shd w:val="clear" w:color="auto" w:fill="E9EDF3"/>
            <w:vAlign w:val="center"/>
          </w:tcPr>
          <w:p w14:paraId="59606080" w14:textId="77777777" w:rsidR="00035307" w:rsidRDefault="00A614AD">
            <w:pPr>
              <w:spacing w:before="60" w:after="60"/>
            </w:pPr>
            <w:r>
              <w:rPr>
                <w:sz w:val="25"/>
              </w:rPr>
              <w:t xml:space="preserve">Infraestructura disponible en el </w:t>
            </w:r>
            <w:r>
              <w:rPr>
                <w:sz w:val="25"/>
              </w:rPr>
              <w:t>repositorio actual; incluye observaciones de consistencia y limitaciones de reproducibilidad detectadas.</w:t>
            </w:r>
          </w:p>
        </w:tc>
      </w:tr>
      <w:tr w:rsidR="00035307" w14:paraId="6B74AAA9" w14:textId="77777777" w:rsidTr="005A260B">
        <w:trPr>
          <w:trHeight w:val="792"/>
          <w:jc w:val="center"/>
        </w:trPr>
        <w:tc>
          <w:tcPr>
            <w:tcW w:w="4173" w:type="dxa"/>
            <w:shd w:val="clear" w:color="auto" w:fill="D9DEE7"/>
            <w:vAlign w:val="center"/>
          </w:tcPr>
          <w:p w14:paraId="2A52C4F6" w14:textId="77777777" w:rsidR="00035307" w:rsidRDefault="00A614AD">
            <w:pPr>
              <w:spacing w:before="60" w:after="60"/>
            </w:pPr>
            <w:r>
              <w:rPr>
                <w:b/>
                <w:sz w:val="26"/>
              </w:rPr>
              <w:t>Estado</w:t>
            </w:r>
          </w:p>
        </w:tc>
        <w:tc>
          <w:tcPr>
            <w:tcW w:w="6984" w:type="dxa"/>
            <w:shd w:val="clear" w:color="auto" w:fill="E9EDF3"/>
            <w:vAlign w:val="center"/>
          </w:tcPr>
          <w:p w14:paraId="445AD39B" w14:textId="77777777" w:rsidR="00035307" w:rsidRDefault="00A614AD">
            <w:pPr>
              <w:spacing w:before="60" w:after="60"/>
            </w:pPr>
            <w:r>
              <w:rPr>
                <w:sz w:val="25"/>
              </w:rPr>
              <w:t>Stack funcional para evaluación local, con oportunidades claras de endurecimiento operativo y de estandarización.</w:t>
            </w:r>
          </w:p>
        </w:tc>
      </w:tr>
      <w:tr w:rsidR="00035307" w14:paraId="546D668D" w14:textId="77777777" w:rsidTr="005A260B">
        <w:trPr>
          <w:trHeight w:val="469"/>
          <w:jc w:val="center"/>
        </w:trPr>
        <w:tc>
          <w:tcPr>
            <w:tcW w:w="4173" w:type="dxa"/>
            <w:shd w:val="clear" w:color="auto" w:fill="D9DEE7"/>
            <w:vAlign w:val="center"/>
          </w:tcPr>
          <w:p w14:paraId="75C40EED" w14:textId="77777777" w:rsidR="00035307" w:rsidRDefault="00A614AD">
            <w:pPr>
              <w:spacing w:before="60" w:after="60"/>
            </w:pPr>
            <w:r>
              <w:rPr>
                <w:b/>
                <w:sz w:val="26"/>
              </w:rPr>
              <w:t>Ruta objetivo</w:t>
            </w:r>
          </w:p>
        </w:tc>
        <w:tc>
          <w:tcPr>
            <w:tcW w:w="6984" w:type="dxa"/>
            <w:shd w:val="clear" w:color="auto" w:fill="E9EDF3"/>
            <w:vAlign w:val="center"/>
          </w:tcPr>
          <w:p w14:paraId="7D7D8BE9" w14:textId="77777777" w:rsidR="00035307" w:rsidRDefault="00A614AD">
            <w:pPr>
              <w:spacing w:before="60" w:after="60"/>
            </w:pPr>
            <w:r>
              <w:rPr>
                <w:sz w:val="25"/>
              </w:rPr>
              <w:t>docs/Documento</w:t>
            </w:r>
            <w:r>
              <w:rPr>
                <w:sz w:val="25"/>
              </w:rPr>
              <w:t>_Tecnico_Infraestructura_Proyecto.docx</w:t>
            </w:r>
          </w:p>
        </w:tc>
      </w:tr>
    </w:tbl>
    <w:p w14:paraId="04040146" w14:textId="77777777" w:rsidR="00035307" w:rsidRDefault="00A614AD">
      <w:pPr>
        <w:spacing w:after="160"/>
      </w:pPr>
      <w:r>
        <w:br w:type="page"/>
      </w:r>
    </w:p>
    <w:p w14:paraId="28B189F0" w14:textId="77777777" w:rsidR="00035307" w:rsidRDefault="00A614AD">
      <w:pPr>
        <w:pStyle w:val="Ttulo1"/>
      </w:pPr>
      <w:r>
        <w:lastRenderedPageBreak/>
        <w:t>1. Visión general de la infraestructura</w:t>
      </w:r>
    </w:p>
    <w:p w14:paraId="3E0575CF" w14:textId="77777777" w:rsidR="00035307" w:rsidRDefault="00A614AD">
      <w:pPr>
        <w:spacing w:after="160"/>
      </w:pPr>
      <w:r>
        <w:t>La infraestructura del proyecto está diseñada para ejecutar una evaluación reproducible de n8n como capa de integración en dos escenarios de ciudad inteligente: recarga digit</w:t>
      </w:r>
      <w:r>
        <w:t>al Tullave y denuncia digital. El repositorio concentra en una misma base los servicios de soporte, los workflows versionados, las APIs simuladas, las colecciones de prueba y la documentación técnica.</w:t>
      </w:r>
    </w:p>
    <w:p w14:paraId="728553D2" w14:textId="77777777" w:rsidR="00035307" w:rsidRDefault="00A614AD">
      <w:pPr>
        <w:spacing w:after="160"/>
      </w:pPr>
      <w:r>
        <w:t>El punto de entrada operativo es el archivo infra/docke</w:t>
      </w:r>
      <w:r>
        <w:t xml:space="preserve">r-compose.yml. Desde allí se levantan los contenedores de PostgreSQL, n8n, casea-mock-api, caseb-mock-api y Metabase. Los workflows consumen los mock services por nombre de servicio Docker, mientras PostgreSQL soporta al menos la persistencia de n8n y los </w:t>
      </w:r>
      <w:r>
        <w:t>inserts que alimentan los dashboards de resultados.</w:t>
      </w:r>
    </w:p>
    <w:p w14:paraId="7FEDA662" w14:textId="77777777" w:rsidR="00035307" w:rsidRDefault="00A614AD">
      <w:pPr>
        <w:spacing w:after="160"/>
      </w:pPr>
      <w:r>
        <w:t>A nivel de arquitectura, la solución separa correctamente la orquestación, la simulación de servicios externos y la capa de visualización. Sin embargo, también presenta algunos puntos de mejora para endur</w:t>
      </w:r>
      <w:r>
        <w:t>ecer la reproducibilidad: referencias del README a workflows no presentes, variables de entorno no utilizadas, imágenes latest y una configuración de Metabase que exige aprovisionamiento adicional de base de datos.</w:t>
      </w:r>
    </w:p>
    <w:p w14:paraId="5B14EA9F" w14:textId="77777777" w:rsidR="00035307" w:rsidRDefault="00A614AD">
      <w:pPr>
        <w:spacing w:after="160"/>
        <w:jc w:val="center"/>
      </w:pPr>
      <w:r>
        <w:rPr>
          <w:noProof/>
        </w:rPr>
        <w:drawing>
          <wp:inline distT="0" distB="0" distL="0" distR="0" wp14:anchorId="2B8B7B17" wp14:editId="20FDFE58">
            <wp:extent cx="6309360" cy="3855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ra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BAB1" w14:textId="77777777" w:rsidR="00035307" w:rsidRDefault="00A614AD">
      <w:pPr>
        <w:spacing w:before="80" w:after="160"/>
        <w:jc w:val="center"/>
      </w:pPr>
      <w:r>
        <w:rPr>
          <w:i/>
          <w:color w:val="426391"/>
          <w:sz w:val="23"/>
        </w:rPr>
        <w:t>Figura 1. Arquitectura de infraestructu</w:t>
      </w:r>
      <w:r>
        <w:rPr>
          <w:i/>
          <w:color w:val="426391"/>
          <w:sz w:val="23"/>
        </w:rPr>
        <w:t>ra del proyecto y relaciones entre sus componentes principales.</w:t>
      </w:r>
    </w:p>
    <w:p w14:paraId="74FBE579" w14:textId="77777777" w:rsidR="00035307" w:rsidRDefault="00A614AD">
      <w:pPr>
        <w:pStyle w:val="Ttulo1"/>
      </w:pPr>
      <w:r>
        <w:t>2. Componentes de infraestructura</w:t>
      </w:r>
    </w:p>
    <w:p w14:paraId="7E9F569A" w14:textId="77777777" w:rsidR="00035307" w:rsidRDefault="00A614AD">
      <w:pPr>
        <w:spacing w:after="160"/>
      </w:pPr>
      <w:r>
        <w:t>La siguiente tabla resume los componentes operativos identificados en el repositorio actual y su función dentro del entorno de evaluación.</w:t>
      </w:r>
    </w:p>
    <w:tbl>
      <w:tblPr>
        <w:tblW w:w="0" w:type="auto"/>
        <w:jc w:val="center"/>
        <w:tblBorders>
          <w:top w:val="single" w:sz="8" w:space="0" w:color="3E5F8A"/>
          <w:left w:val="single" w:sz="8" w:space="0" w:color="3E5F8A"/>
          <w:bottom w:val="single" w:sz="8" w:space="0" w:color="3E5F8A"/>
          <w:right w:val="single" w:sz="8" w:space="0" w:color="3E5F8A"/>
          <w:insideH w:val="single" w:sz="8" w:space="0" w:color="3E5F8A"/>
          <w:insideV w:val="single" w:sz="8" w:space="0" w:color="3E5F8A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928"/>
        <w:gridCol w:w="1928"/>
        <w:gridCol w:w="1928"/>
        <w:gridCol w:w="3168"/>
      </w:tblGrid>
      <w:tr w:rsidR="00035307" w14:paraId="4A0218A1" w14:textId="77777777">
        <w:trPr>
          <w:jc w:val="center"/>
        </w:trPr>
        <w:tc>
          <w:tcPr>
            <w:tcW w:w="1928" w:type="dxa"/>
            <w:shd w:val="clear" w:color="auto" w:fill="5478A6"/>
            <w:vAlign w:val="center"/>
          </w:tcPr>
          <w:p w14:paraId="41CA57B1" w14:textId="77777777" w:rsidR="00035307" w:rsidRDefault="00A614AD">
            <w:pPr>
              <w:spacing w:before="60" w:after="60"/>
              <w:jc w:val="center"/>
            </w:pPr>
            <w:r>
              <w:rPr>
                <w:b/>
                <w:color w:val="FFFFFF"/>
                <w:sz w:val="23"/>
              </w:rPr>
              <w:lastRenderedPageBreak/>
              <w:t>Componente</w:t>
            </w:r>
          </w:p>
        </w:tc>
        <w:tc>
          <w:tcPr>
            <w:tcW w:w="1928" w:type="dxa"/>
            <w:shd w:val="clear" w:color="auto" w:fill="5478A6"/>
            <w:vAlign w:val="center"/>
          </w:tcPr>
          <w:p w14:paraId="0A9303FC" w14:textId="77777777" w:rsidR="00035307" w:rsidRDefault="00A614AD">
            <w:pPr>
              <w:spacing w:before="60" w:after="60"/>
              <w:jc w:val="center"/>
            </w:pPr>
            <w:r>
              <w:rPr>
                <w:b/>
                <w:color w:val="FFFFFF"/>
                <w:sz w:val="23"/>
              </w:rPr>
              <w:t>Tecnología</w:t>
            </w:r>
          </w:p>
        </w:tc>
        <w:tc>
          <w:tcPr>
            <w:tcW w:w="1928" w:type="dxa"/>
            <w:shd w:val="clear" w:color="auto" w:fill="5478A6"/>
            <w:vAlign w:val="center"/>
          </w:tcPr>
          <w:p w14:paraId="450C967D" w14:textId="77777777" w:rsidR="00035307" w:rsidRDefault="00A614AD">
            <w:pPr>
              <w:spacing w:before="60" w:after="60"/>
              <w:jc w:val="center"/>
            </w:pPr>
            <w:r>
              <w:rPr>
                <w:b/>
                <w:color w:val="FFFFFF"/>
                <w:sz w:val="23"/>
              </w:rPr>
              <w:t>Puerto host</w:t>
            </w:r>
          </w:p>
        </w:tc>
        <w:tc>
          <w:tcPr>
            <w:tcW w:w="1928" w:type="dxa"/>
            <w:shd w:val="clear" w:color="auto" w:fill="5478A6"/>
            <w:vAlign w:val="center"/>
          </w:tcPr>
          <w:p w14:paraId="0EF61F3E" w14:textId="77777777" w:rsidR="00035307" w:rsidRDefault="00A614AD">
            <w:pPr>
              <w:spacing w:before="60" w:after="60"/>
              <w:jc w:val="center"/>
            </w:pPr>
            <w:r>
              <w:rPr>
                <w:b/>
                <w:color w:val="FFFFFF"/>
                <w:sz w:val="23"/>
              </w:rPr>
              <w:t>Persistencia</w:t>
            </w:r>
          </w:p>
        </w:tc>
        <w:tc>
          <w:tcPr>
            <w:tcW w:w="1928" w:type="dxa"/>
            <w:shd w:val="clear" w:color="auto" w:fill="5478A6"/>
            <w:vAlign w:val="center"/>
          </w:tcPr>
          <w:p w14:paraId="13193B3C" w14:textId="77777777" w:rsidR="00035307" w:rsidRDefault="00A614AD">
            <w:pPr>
              <w:spacing w:before="60" w:after="60"/>
              <w:jc w:val="center"/>
            </w:pPr>
            <w:r>
              <w:rPr>
                <w:b/>
                <w:color w:val="FFFFFF"/>
                <w:sz w:val="23"/>
              </w:rPr>
              <w:t>Rol principal</w:t>
            </w:r>
          </w:p>
        </w:tc>
      </w:tr>
      <w:tr w:rsidR="00035307" w14:paraId="225A9668" w14:textId="77777777">
        <w:trPr>
          <w:jc w:val="center"/>
        </w:trPr>
        <w:tc>
          <w:tcPr>
            <w:tcW w:w="2376" w:type="dxa"/>
            <w:shd w:val="clear" w:color="auto" w:fill="E9EDF3"/>
            <w:vAlign w:val="center"/>
          </w:tcPr>
          <w:p w14:paraId="4D77BC4B" w14:textId="77777777" w:rsidR="00035307" w:rsidRDefault="00A614AD">
            <w:pPr>
              <w:spacing w:before="60" w:after="60"/>
            </w:pPr>
            <w:r>
              <w:rPr>
                <w:sz w:val="22"/>
              </w:rPr>
              <w:t>postgres</w:t>
            </w:r>
          </w:p>
        </w:tc>
        <w:tc>
          <w:tcPr>
            <w:tcW w:w="1800" w:type="dxa"/>
            <w:shd w:val="clear" w:color="auto" w:fill="E9EDF3"/>
            <w:vAlign w:val="center"/>
          </w:tcPr>
          <w:p w14:paraId="057F60FE" w14:textId="77777777" w:rsidR="00035307" w:rsidRDefault="00A614AD">
            <w:pPr>
              <w:spacing w:before="60" w:after="60"/>
            </w:pPr>
            <w:r>
              <w:rPr>
                <w:sz w:val="22"/>
              </w:rPr>
              <w:t>PostgreSQL 15</w:t>
            </w:r>
          </w:p>
        </w:tc>
        <w:tc>
          <w:tcPr>
            <w:tcW w:w="1800" w:type="dxa"/>
            <w:shd w:val="clear" w:color="auto" w:fill="E9EDF3"/>
            <w:vAlign w:val="center"/>
          </w:tcPr>
          <w:p w14:paraId="02B8984A" w14:textId="77777777" w:rsidR="00035307" w:rsidRDefault="00A614AD">
            <w:pPr>
              <w:spacing w:before="60" w:after="60"/>
              <w:jc w:val="center"/>
            </w:pPr>
            <w:r>
              <w:rPr>
                <w:sz w:val="22"/>
              </w:rPr>
              <w:t>5433</w:t>
            </w:r>
          </w:p>
        </w:tc>
        <w:tc>
          <w:tcPr>
            <w:tcW w:w="1656" w:type="dxa"/>
            <w:shd w:val="clear" w:color="auto" w:fill="E9EDF3"/>
            <w:vAlign w:val="center"/>
          </w:tcPr>
          <w:p w14:paraId="7EB70235" w14:textId="77777777" w:rsidR="00035307" w:rsidRDefault="00A614AD">
            <w:pPr>
              <w:spacing w:before="60" w:after="60"/>
              <w:jc w:val="center"/>
            </w:pPr>
            <w:r>
              <w:rPr>
                <w:sz w:val="22"/>
              </w:rPr>
              <w:t>postgres_data</w:t>
            </w:r>
          </w:p>
        </w:tc>
        <w:tc>
          <w:tcPr>
            <w:tcW w:w="3168" w:type="dxa"/>
            <w:shd w:val="clear" w:color="auto" w:fill="F4F6F9"/>
            <w:vAlign w:val="center"/>
          </w:tcPr>
          <w:p w14:paraId="4DDC955B" w14:textId="77777777" w:rsidR="00035307" w:rsidRDefault="00A614AD">
            <w:pPr>
              <w:spacing w:before="60" w:after="60"/>
            </w:pPr>
            <w:r>
              <w:rPr>
                <w:sz w:val="22"/>
              </w:rPr>
              <w:t>Base de datos del stack; n8n la usa como backend transaccional y los workflows escriben registros para dashboard.</w:t>
            </w:r>
          </w:p>
        </w:tc>
      </w:tr>
      <w:tr w:rsidR="00035307" w14:paraId="635D2421" w14:textId="77777777">
        <w:trPr>
          <w:jc w:val="center"/>
        </w:trPr>
        <w:tc>
          <w:tcPr>
            <w:tcW w:w="2376" w:type="dxa"/>
            <w:shd w:val="clear" w:color="auto" w:fill="E9EDF3"/>
            <w:vAlign w:val="center"/>
          </w:tcPr>
          <w:p w14:paraId="0848DF2A" w14:textId="77777777" w:rsidR="00035307" w:rsidRDefault="00A614AD">
            <w:pPr>
              <w:spacing w:before="60" w:after="60"/>
            </w:pPr>
            <w:r>
              <w:rPr>
                <w:sz w:val="22"/>
              </w:rPr>
              <w:t>n8n</w:t>
            </w:r>
          </w:p>
        </w:tc>
        <w:tc>
          <w:tcPr>
            <w:tcW w:w="1800" w:type="dxa"/>
            <w:shd w:val="clear" w:color="auto" w:fill="E9EDF3"/>
            <w:vAlign w:val="center"/>
          </w:tcPr>
          <w:p w14:paraId="6EA5F764" w14:textId="77777777" w:rsidR="00035307" w:rsidRDefault="00A614AD">
            <w:pPr>
              <w:spacing w:before="60" w:after="60"/>
            </w:pPr>
            <w:r>
              <w:rPr>
                <w:sz w:val="22"/>
              </w:rPr>
              <w:t>n8nio/n8n</w:t>
            </w:r>
          </w:p>
        </w:tc>
        <w:tc>
          <w:tcPr>
            <w:tcW w:w="1800" w:type="dxa"/>
            <w:shd w:val="clear" w:color="auto" w:fill="E9EDF3"/>
            <w:vAlign w:val="center"/>
          </w:tcPr>
          <w:p w14:paraId="7010ACD0" w14:textId="77777777" w:rsidR="00035307" w:rsidRDefault="00A614AD">
            <w:pPr>
              <w:spacing w:before="60" w:after="60"/>
              <w:jc w:val="center"/>
            </w:pPr>
            <w:r>
              <w:rPr>
                <w:sz w:val="22"/>
              </w:rPr>
              <w:t>5678</w:t>
            </w:r>
          </w:p>
        </w:tc>
        <w:tc>
          <w:tcPr>
            <w:tcW w:w="1656" w:type="dxa"/>
            <w:shd w:val="clear" w:color="auto" w:fill="E9EDF3"/>
            <w:vAlign w:val="center"/>
          </w:tcPr>
          <w:p w14:paraId="4AC2A092" w14:textId="77777777" w:rsidR="00035307" w:rsidRDefault="00A614AD">
            <w:pPr>
              <w:spacing w:before="60" w:after="60"/>
              <w:jc w:val="center"/>
            </w:pPr>
            <w:r>
              <w:rPr>
                <w:sz w:val="22"/>
              </w:rPr>
              <w:t>n8n_data</w:t>
            </w:r>
          </w:p>
        </w:tc>
        <w:tc>
          <w:tcPr>
            <w:tcW w:w="3168" w:type="dxa"/>
            <w:shd w:val="clear" w:color="auto" w:fill="F4F6F9"/>
            <w:vAlign w:val="center"/>
          </w:tcPr>
          <w:p w14:paraId="2796E85E" w14:textId="77777777" w:rsidR="00035307" w:rsidRDefault="00A614AD">
            <w:pPr>
              <w:spacing w:before="60" w:after="60"/>
            </w:pPr>
            <w:r>
              <w:rPr>
                <w:sz w:val="22"/>
              </w:rPr>
              <w:t>Motor de orquestación, webhooks, lógica condicional, llamadas HTTP y persistencia de ejecuciones.</w:t>
            </w:r>
          </w:p>
        </w:tc>
      </w:tr>
      <w:tr w:rsidR="00035307" w14:paraId="67612705" w14:textId="77777777">
        <w:trPr>
          <w:jc w:val="center"/>
        </w:trPr>
        <w:tc>
          <w:tcPr>
            <w:tcW w:w="2376" w:type="dxa"/>
            <w:shd w:val="clear" w:color="auto" w:fill="E9EDF3"/>
            <w:vAlign w:val="center"/>
          </w:tcPr>
          <w:p w14:paraId="073FF8DB" w14:textId="77777777" w:rsidR="00035307" w:rsidRDefault="00A614AD">
            <w:pPr>
              <w:spacing w:before="60" w:after="60"/>
            </w:pPr>
            <w:r>
              <w:rPr>
                <w:sz w:val="22"/>
              </w:rPr>
              <w:t>casea-mock-api</w:t>
            </w:r>
          </w:p>
        </w:tc>
        <w:tc>
          <w:tcPr>
            <w:tcW w:w="1800" w:type="dxa"/>
            <w:shd w:val="clear" w:color="auto" w:fill="E9EDF3"/>
            <w:vAlign w:val="center"/>
          </w:tcPr>
          <w:p w14:paraId="3C3AAE7E" w14:textId="77777777" w:rsidR="00035307" w:rsidRDefault="00A614AD">
            <w:pPr>
              <w:spacing w:before="60" w:after="60"/>
            </w:pPr>
            <w:r>
              <w:rPr>
                <w:sz w:val="22"/>
              </w:rPr>
              <w:t>FastAPI</w:t>
            </w:r>
          </w:p>
        </w:tc>
        <w:tc>
          <w:tcPr>
            <w:tcW w:w="1800" w:type="dxa"/>
            <w:shd w:val="clear" w:color="auto" w:fill="E9EDF3"/>
            <w:vAlign w:val="center"/>
          </w:tcPr>
          <w:p w14:paraId="3244F5CF" w14:textId="77777777" w:rsidR="00035307" w:rsidRDefault="00A614AD">
            <w:pPr>
              <w:spacing w:before="60" w:after="60"/>
              <w:jc w:val="center"/>
            </w:pPr>
            <w:r>
              <w:rPr>
                <w:sz w:val="22"/>
              </w:rPr>
              <w:t>8001</w:t>
            </w:r>
          </w:p>
        </w:tc>
        <w:tc>
          <w:tcPr>
            <w:tcW w:w="1656" w:type="dxa"/>
            <w:shd w:val="clear" w:color="auto" w:fill="E9EDF3"/>
            <w:vAlign w:val="center"/>
          </w:tcPr>
          <w:p w14:paraId="1A96DE78" w14:textId="77777777" w:rsidR="00035307" w:rsidRDefault="00A614AD">
            <w:pPr>
              <w:spacing w:before="60" w:after="60"/>
              <w:jc w:val="center"/>
            </w:pPr>
            <w:r>
              <w:rPr>
                <w:sz w:val="22"/>
              </w:rPr>
              <w:t>No declarada</w:t>
            </w:r>
          </w:p>
        </w:tc>
        <w:tc>
          <w:tcPr>
            <w:tcW w:w="3168" w:type="dxa"/>
            <w:shd w:val="clear" w:color="auto" w:fill="F4F6F9"/>
            <w:vAlign w:val="center"/>
          </w:tcPr>
          <w:p w14:paraId="28E15406" w14:textId="77777777" w:rsidR="00035307" w:rsidRDefault="00A614AD">
            <w:pPr>
              <w:spacing w:before="60" w:after="60"/>
            </w:pPr>
            <w:r>
              <w:rPr>
                <w:sz w:val="22"/>
              </w:rPr>
              <w:t>Simula fondos, banco, recaudo, activación Tullave, DIAN y notificación del Caso A.</w:t>
            </w:r>
          </w:p>
        </w:tc>
      </w:tr>
      <w:tr w:rsidR="00035307" w14:paraId="7C17AAD9" w14:textId="77777777">
        <w:trPr>
          <w:jc w:val="center"/>
        </w:trPr>
        <w:tc>
          <w:tcPr>
            <w:tcW w:w="2376" w:type="dxa"/>
            <w:shd w:val="clear" w:color="auto" w:fill="E9EDF3"/>
            <w:vAlign w:val="center"/>
          </w:tcPr>
          <w:p w14:paraId="1522D78A" w14:textId="77777777" w:rsidR="00035307" w:rsidRDefault="00A614AD">
            <w:pPr>
              <w:spacing w:before="60" w:after="60"/>
            </w:pPr>
            <w:r>
              <w:rPr>
                <w:sz w:val="22"/>
              </w:rPr>
              <w:t>caseb-mock-api</w:t>
            </w:r>
          </w:p>
        </w:tc>
        <w:tc>
          <w:tcPr>
            <w:tcW w:w="1800" w:type="dxa"/>
            <w:shd w:val="clear" w:color="auto" w:fill="E9EDF3"/>
            <w:vAlign w:val="center"/>
          </w:tcPr>
          <w:p w14:paraId="74B3921C" w14:textId="77777777" w:rsidR="00035307" w:rsidRDefault="00A614AD">
            <w:pPr>
              <w:spacing w:before="60" w:after="60"/>
            </w:pPr>
            <w:r>
              <w:rPr>
                <w:sz w:val="22"/>
              </w:rPr>
              <w:t>FastAPI</w:t>
            </w:r>
          </w:p>
        </w:tc>
        <w:tc>
          <w:tcPr>
            <w:tcW w:w="1800" w:type="dxa"/>
            <w:shd w:val="clear" w:color="auto" w:fill="E9EDF3"/>
            <w:vAlign w:val="center"/>
          </w:tcPr>
          <w:p w14:paraId="27F9393B" w14:textId="77777777" w:rsidR="00035307" w:rsidRDefault="00A614AD">
            <w:pPr>
              <w:spacing w:before="60" w:after="60"/>
              <w:jc w:val="center"/>
            </w:pPr>
            <w:r>
              <w:rPr>
                <w:sz w:val="22"/>
              </w:rPr>
              <w:t>8002</w:t>
            </w:r>
          </w:p>
        </w:tc>
        <w:tc>
          <w:tcPr>
            <w:tcW w:w="1656" w:type="dxa"/>
            <w:shd w:val="clear" w:color="auto" w:fill="E9EDF3"/>
            <w:vAlign w:val="center"/>
          </w:tcPr>
          <w:p w14:paraId="1F15460E" w14:textId="77777777" w:rsidR="00035307" w:rsidRDefault="00A614AD">
            <w:pPr>
              <w:spacing w:before="60" w:after="60"/>
              <w:jc w:val="center"/>
            </w:pPr>
            <w:r>
              <w:rPr>
                <w:sz w:val="22"/>
              </w:rPr>
              <w:t xml:space="preserve">No </w:t>
            </w:r>
            <w:r>
              <w:rPr>
                <w:sz w:val="22"/>
              </w:rPr>
              <w:t>declarada</w:t>
            </w:r>
          </w:p>
        </w:tc>
        <w:tc>
          <w:tcPr>
            <w:tcW w:w="3168" w:type="dxa"/>
            <w:shd w:val="clear" w:color="auto" w:fill="F4F6F9"/>
            <w:vAlign w:val="center"/>
          </w:tcPr>
          <w:p w14:paraId="0E2D54B7" w14:textId="77777777" w:rsidR="00035307" w:rsidRDefault="00A614AD">
            <w:pPr>
              <w:spacing w:before="60" w:after="60"/>
            </w:pPr>
            <w:r>
              <w:rPr>
                <w:sz w:val="22"/>
              </w:rPr>
              <w:t>Simula autenticación, identidad, clasificación policial, fiscalía, georreferenciación y notificación del Caso B.</w:t>
            </w:r>
          </w:p>
        </w:tc>
      </w:tr>
      <w:tr w:rsidR="00035307" w14:paraId="0EE5ABE7" w14:textId="77777777">
        <w:trPr>
          <w:jc w:val="center"/>
        </w:trPr>
        <w:tc>
          <w:tcPr>
            <w:tcW w:w="2376" w:type="dxa"/>
            <w:shd w:val="clear" w:color="auto" w:fill="E9EDF3"/>
            <w:vAlign w:val="center"/>
          </w:tcPr>
          <w:p w14:paraId="330233C7" w14:textId="77777777" w:rsidR="00035307" w:rsidRDefault="00A614AD">
            <w:pPr>
              <w:spacing w:before="60" w:after="60"/>
            </w:pPr>
            <w:r>
              <w:rPr>
                <w:sz w:val="22"/>
              </w:rPr>
              <w:t>metabase</w:t>
            </w:r>
          </w:p>
        </w:tc>
        <w:tc>
          <w:tcPr>
            <w:tcW w:w="1800" w:type="dxa"/>
            <w:shd w:val="clear" w:color="auto" w:fill="E9EDF3"/>
            <w:vAlign w:val="center"/>
          </w:tcPr>
          <w:p w14:paraId="76893753" w14:textId="77777777" w:rsidR="00035307" w:rsidRDefault="00A614AD">
            <w:pPr>
              <w:spacing w:before="60" w:after="60"/>
            </w:pPr>
            <w:r>
              <w:rPr>
                <w:sz w:val="22"/>
              </w:rPr>
              <w:t>metabase/metabase</w:t>
            </w:r>
          </w:p>
        </w:tc>
        <w:tc>
          <w:tcPr>
            <w:tcW w:w="1800" w:type="dxa"/>
            <w:shd w:val="clear" w:color="auto" w:fill="E9EDF3"/>
            <w:vAlign w:val="center"/>
          </w:tcPr>
          <w:p w14:paraId="091C69C9" w14:textId="77777777" w:rsidR="00035307" w:rsidRDefault="00A614AD">
            <w:pPr>
              <w:spacing w:before="60" w:after="60"/>
              <w:jc w:val="center"/>
            </w:pPr>
            <w:r>
              <w:rPr>
                <w:sz w:val="22"/>
              </w:rPr>
              <w:t>3000</w:t>
            </w:r>
          </w:p>
        </w:tc>
        <w:tc>
          <w:tcPr>
            <w:tcW w:w="1656" w:type="dxa"/>
            <w:shd w:val="clear" w:color="auto" w:fill="E9EDF3"/>
            <w:vAlign w:val="center"/>
          </w:tcPr>
          <w:p w14:paraId="2212F699" w14:textId="77777777" w:rsidR="00035307" w:rsidRDefault="00A614AD">
            <w:pPr>
              <w:spacing w:before="60" w:after="60"/>
              <w:jc w:val="center"/>
            </w:pPr>
            <w:r>
              <w:rPr>
                <w:sz w:val="22"/>
              </w:rPr>
              <w:t>No montada</w:t>
            </w:r>
          </w:p>
        </w:tc>
        <w:tc>
          <w:tcPr>
            <w:tcW w:w="3168" w:type="dxa"/>
            <w:shd w:val="clear" w:color="auto" w:fill="F4F6F9"/>
            <w:vAlign w:val="center"/>
          </w:tcPr>
          <w:p w14:paraId="4C8B165C" w14:textId="77777777" w:rsidR="00035307" w:rsidRDefault="00A614AD">
            <w:pPr>
              <w:spacing w:before="60" w:after="60"/>
            </w:pPr>
            <w:r>
              <w:rPr>
                <w:sz w:val="22"/>
              </w:rPr>
              <w:t>Capa analítica y de visualización para consulta de métricas y resultados de ejecución.</w:t>
            </w:r>
          </w:p>
        </w:tc>
      </w:tr>
    </w:tbl>
    <w:p w14:paraId="1C0086A6" w14:textId="77777777" w:rsidR="00035307" w:rsidRDefault="00A614AD">
      <w:pPr>
        <w:pStyle w:val="Ttulo1"/>
      </w:pPr>
      <w:r>
        <w:t>3</w:t>
      </w:r>
      <w:r>
        <w:t>. Red, puertos y persistencia</w:t>
      </w:r>
    </w:p>
    <w:p w14:paraId="5B3A5DF4" w14:textId="77777777" w:rsidR="00035307" w:rsidRDefault="00A614AD">
      <w:pPr>
        <w:spacing w:after="160"/>
      </w:pPr>
      <w:r>
        <w:t xml:space="preserve">Los servicios se resuelven entre sí dentro de la red interna de Docker Compose mediante nombres de servicio. Esto es correcto y coherente con los workflows actuales, que construyen las URLs a partir de </w:t>
      </w:r>
      <w:r>
        <w:t>mock_base_url y concatenan rutas de endpoint dentro del mismo namespace del contenedor.</w:t>
      </w:r>
    </w:p>
    <w:p w14:paraId="693336B3" w14:textId="77777777" w:rsidR="00035307" w:rsidRDefault="00A614AD">
      <w:pPr>
        <w:pStyle w:val="Listaconvietas"/>
        <w:spacing w:after="60" w:line="264" w:lineRule="auto"/>
      </w:pPr>
      <w:r>
        <w:rPr>
          <w:sz w:val="23"/>
        </w:rPr>
        <w:t>n8n expone el puerto 5678 para la interfaz, edición de workflows y recepción de webhooks.</w:t>
      </w:r>
    </w:p>
    <w:p w14:paraId="6CC661CB" w14:textId="77777777" w:rsidR="00035307" w:rsidRDefault="00A614AD">
      <w:pPr>
        <w:pStyle w:val="Listaconvietas"/>
        <w:spacing w:after="60" w:line="264" w:lineRule="auto"/>
      </w:pPr>
      <w:r>
        <w:rPr>
          <w:sz w:val="23"/>
        </w:rPr>
        <w:t xml:space="preserve">casea-mock-api expone el puerto 8001 y caseb-mock-api el 8002; ambos incluyen </w:t>
      </w:r>
      <w:r>
        <w:rPr>
          <w:sz w:val="23"/>
        </w:rPr>
        <w:t>health checks HTTP internos.</w:t>
      </w:r>
    </w:p>
    <w:p w14:paraId="11A290C0" w14:textId="77777777" w:rsidR="00035307" w:rsidRDefault="00A614AD">
      <w:pPr>
        <w:pStyle w:val="Listaconvietas"/>
        <w:spacing w:after="60" w:line="264" w:lineRule="auto"/>
      </w:pPr>
      <w:r>
        <w:rPr>
          <w:sz w:val="23"/>
        </w:rPr>
        <w:t>postgres expone 5433 en el host mapeado a 5432 en el contenedor, evitando conflicto con instalaciones locales típicas de PostgreSQL.</w:t>
      </w:r>
    </w:p>
    <w:p w14:paraId="2497CDB9" w14:textId="77777777" w:rsidR="00035307" w:rsidRDefault="00A614AD">
      <w:pPr>
        <w:pStyle w:val="Listaconvietas"/>
        <w:spacing w:after="60" w:line="264" w:lineRule="auto"/>
      </w:pPr>
      <w:r>
        <w:rPr>
          <w:sz w:val="23"/>
        </w:rPr>
        <w:t>Los volúmenes realmente montados son postgres_data y n8n_data. El volumen metabase_data existe</w:t>
      </w:r>
      <w:r>
        <w:rPr>
          <w:sz w:val="23"/>
        </w:rPr>
        <w:t xml:space="preserve"> en docker-compose pero no está asociado al servicio Metabase actual.</w:t>
      </w:r>
    </w:p>
    <w:p w14:paraId="6EBBFFFB" w14:textId="77777777" w:rsidR="00035307" w:rsidRDefault="00A614AD">
      <w:pPr>
        <w:spacing w:after="160"/>
      </w:pPr>
      <w:r>
        <w:t>Desde la perspectiva de persistencia, el diseño es suficiente para pruebas locales y para conservar la información esencial del orquestador. No obstante, el repositorio no define una est</w:t>
      </w:r>
      <w:r>
        <w:t>rategia explícita de backup, de inicialización de esquema ni de versionado de la base para dashboards.</w:t>
      </w:r>
    </w:p>
    <w:p w14:paraId="3D582EDA" w14:textId="77777777" w:rsidR="00035307" w:rsidRDefault="00A614AD">
      <w:pPr>
        <w:pStyle w:val="Ttulo1"/>
      </w:pPr>
      <w:r>
        <w:t>4. Workflows n8n y servicios simulados</w:t>
      </w:r>
    </w:p>
    <w:p w14:paraId="7B0A45F8" w14:textId="77777777" w:rsidR="00035307" w:rsidRDefault="00A614AD">
      <w:pPr>
        <w:spacing w:after="160"/>
      </w:pPr>
      <w:r>
        <w:t>El repositorio contiene tres workflows por caso: MAINWORKFLOW, RUNNER y ERROR TRIGGER. Los workflows principales c</w:t>
      </w:r>
      <w:r>
        <w:t xml:space="preserve">oncentran la ruta funcional de negocio; los runners </w:t>
      </w:r>
      <w:r>
        <w:lastRenderedPageBreak/>
        <w:t>permiten ejecución por lotes o pruebas internas; y los error triggers almacenan eventos fallidos en PostgreSQL como mecanismo de dead letter básico.</w:t>
      </w:r>
    </w:p>
    <w:p w14:paraId="542B470F" w14:textId="77777777" w:rsidR="00035307" w:rsidRDefault="00A614AD">
      <w:pPr>
        <w:pStyle w:val="Ttulo2"/>
      </w:pPr>
      <w:r>
        <w:t>4.1 Caso A - Recarga Tullave</w:t>
      </w:r>
    </w:p>
    <w:p w14:paraId="1B51EFFB" w14:textId="77777777" w:rsidR="00035307" w:rsidRDefault="00A614AD">
      <w:pPr>
        <w:spacing w:after="160"/>
      </w:pPr>
      <w:r>
        <w:t>El workflow principal iden</w:t>
      </w:r>
      <w:r>
        <w:t>tificado es workflows/casoA/CASO A - MAINWORKFLOW.json. Tiene 25 nodos, una ruta de entrada por webhook y seis llamadas HTTP hacia el mock del Caso A. El webhook publicado en el archivo actual es casoA-recarga-tullave-v2.</w:t>
      </w:r>
    </w:p>
    <w:p w14:paraId="31702862" w14:textId="77777777" w:rsidR="00035307" w:rsidRDefault="00A614AD">
      <w:pPr>
        <w:pStyle w:val="Listaconvietas"/>
        <w:spacing w:after="60" w:line="264" w:lineRule="auto"/>
      </w:pPr>
      <w:r>
        <w:rPr>
          <w:sz w:val="23"/>
        </w:rPr>
        <w:t>Secuencia externa: /funds/validate</w:t>
      </w:r>
      <w:r>
        <w:rPr>
          <w:sz w:val="23"/>
        </w:rPr>
        <w:t xml:space="preserve"> -&gt; /bank/confirm -&gt; /recaudo/bogota -&gt; /tullave/activate -&gt; /dian/report -&gt; /notify/email.</w:t>
      </w:r>
    </w:p>
    <w:p w14:paraId="36C9F3EB" w14:textId="77777777" w:rsidR="00035307" w:rsidRDefault="00A614AD">
      <w:pPr>
        <w:pStyle w:val="Listaconvietas"/>
        <w:spacing w:after="60" w:line="264" w:lineRule="auto"/>
      </w:pPr>
      <w:r>
        <w:rPr>
          <w:sz w:val="23"/>
        </w:rPr>
        <w:t>Persistencia: tres nodos PostgreSQL para registrar éxito, pago rechazado y fondos insuficientes.</w:t>
      </w:r>
    </w:p>
    <w:p w14:paraId="7C9F60AC" w14:textId="77777777" w:rsidR="00035307" w:rsidRDefault="00A614AD">
      <w:pPr>
        <w:pStyle w:val="Listaconvietas"/>
        <w:spacing w:after="60" w:line="264" w:lineRule="auto"/>
      </w:pPr>
      <w:r>
        <w:rPr>
          <w:sz w:val="23"/>
        </w:rPr>
        <w:t>Soporte adicional: un workflow de error trigger con inserción en Po</w:t>
      </w:r>
      <w:r>
        <w:rPr>
          <w:sz w:val="23"/>
        </w:rPr>
        <w:t>stgreSQL y un runner de ejecución interna.</w:t>
      </w:r>
    </w:p>
    <w:p w14:paraId="094CB2AE" w14:textId="77777777" w:rsidR="00035307" w:rsidRDefault="00A614AD">
      <w:pPr>
        <w:pStyle w:val="Ttulo2"/>
      </w:pPr>
      <w:r>
        <w:t>4.2 Caso B - Denuncia digital</w:t>
      </w:r>
    </w:p>
    <w:p w14:paraId="5E6F6AFE" w14:textId="77777777" w:rsidR="00035307" w:rsidRDefault="00A614AD">
      <w:pPr>
        <w:spacing w:after="160"/>
      </w:pPr>
      <w:r>
        <w:t>El workflow principal identificado es workflows/casoB/CASO B - MAINWORKFLOW.json. También tiene 25 nodos y un patrón muy similar al Caso A: webhook, normalización, seis llamadas HTTP,</w:t>
      </w:r>
      <w:r>
        <w:t xml:space="preserve"> decisiones IF, respuestas diferenciadas y persistencia final. El webhook actual es casoB-denuncia-digital-v1.</w:t>
      </w:r>
    </w:p>
    <w:p w14:paraId="73686B6F" w14:textId="77777777" w:rsidR="00035307" w:rsidRDefault="00A614AD">
      <w:pPr>
        <w:pStyle w:val="Listaconvietas"/>
        <w:spacing w:after="60" w:line="264" w:lineRule="auto"/>
      </w:pPr>
      <w:r>
        <w:rPr>
          <w:sz w:val="23"/>
        </w:rPr>
        <w:t>Secuencia externa: /id-gob/auth -&gt; /registraduria/verify-identity -&gt; /georef/geocode -&gt; /policia/classify -&gt; /fiscalia/register -&gt; /notify/email.</w:t>
      </w:r>
    </w:p>
    <w:p w14:paraId="07EE8760" w14:textId="77777777" w:rsidR="00035307" w:rsidRDefault="00A614AD">
      <w:pPr>
        <w:pStyle w:val="Listaconvietas"/>
        <w:spacing w:after="60" w:line="264" w:lineRule="auto"/>
      </w:pPr>
      <w:r>
        <w:rPr>
          <w:sz w:val="23"/>
        </w:rPr>
        <w:t>Persistencia: tres nodos PostgreSQL para registrar éxito, autenticación denegada e identidad inválida.</w:t>
      </w:r>
    </w:p>
    <w:p w14:paraId="64CC1FB3" w14:textId="77777777" w:rsidR="00035307" w:rsidRDefault="00A614AD">
      <w:pPr>
        <w:pStyle w:val="Listaconvietas"/>
        <w:spacing w:after="60" w:line="264" w:lineRule="auto"/>
      </w:pPr>
      <w:r>
        <w:rPr>
          <w:sz w:val="23"/>
        </w:rPr>
        <w:t>Soporte adicional: error trigger con inserción en PostgreSQL y runner batch interno.</w:t>
      </w:r>
    </w:p>
    <w:p w14:paraId="05E90E37" w14:textId="77777777" w:rsidR="00035307" w:rsidRDefault="00A614AD">
      <w:pPr>
        <w:pStyle w:val="Ttulo2"/>
      </w:pPr>
      <w:r>
        <w:t>4.3 Catálogo consolidado de endpoints mock</w:t>
      </w:r>
    </w:p>
    <w:tbl>
      <w:tblPr>
        <w:tblW w:w="0" w:type="auto"/>
        <w:jc w:val="center"/>
        <w:tblBorders>
          <w:top w:val="single" w:sz="8" w:space="0" w:color="3E5F8A"/>
          <w:left w:val="single" w:sz="8" w:space="0" w:color="3E5F8A"/>
          <w:bottom w:val="single" w:sz="8" w:space="0" w:color="3E5F8A"/>
          <w:right w:val="single" w:sz="8" w:space="0" w:color="3E5F8A"/>
          <w:insideH w:val="single" w:sz="8" w:space="0" w:color="3E5F8A"/>
          <w:insideV w:val="single" w:sz="8" w:space="0" w:color="3E5F8A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3312"/>
        <w:gridCol w:w="2409"/>
        <w:gridCol w:w="3600"/>
      </w:tblGrid>
      <w:tr w:rsidR="00035307" w14:paraId="56D4E6A3" w14:textId="77777777">
        <w:trPr>
          <w:jc w:val="center"/>
        </w:trPr>
        <w:tc>
          <w:tcPr>
            <w:tcW w:w="2409" w:type="dxa"/>
            <w:shd w:val="clear" w:color="auto" w:fill="5478A6"/>
            <w:vAlign w:val="center"/>
          </w:tcPr>
          <w:p w14:paraId="58D314F1" w14:textId="77777777" w:rsidR="00035307" w:rsidRDefault="00A614AD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Caso</w:t>
            </w:r>
          </w:p>
        </w:tc>
        <w:tc>
          <w:tcPr>
            <w:tcW w:w="2409" w:type="dxa"/>
            <w:shd w:val="clear" w:color="auto" w:fill="5478A6"/>
            <w:vAlign w:val="center"/>
          </w:tcPr>
          <w:p w14:paraId="34D74DE6" w14:textId="77777777" w:rsidR="00035307" w:rsidRDefault="00A614AD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Endpoint</w:t>
            </w:r>
          </w:p>
        </w:tc>
        <w:tc>
          <w:tcPr>
            <w:tcW w:w="2409" w:type="dxa"/>
            <w:shd w:val="clear" w:color="auto" w:fill="5478A6"/>
            <w:vAlign w:val="center"/>
          </w:tcPr>
          <w:p w14:paraId="42D43D0E" w14:textId="77777777" w:rsidR="00035307" w:rsidRDefault="00A614AD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Método</w:t>
            </w:r>
          </w:p>
        </w:tc>
        <w:tc>
          <w:tcPr>
            <w:tcW w:w="2409" w:type="dxa"/>
            <w:shd w:val="clear" w:color="auto" w:fill="5478A6"/>
            <w:vAlign w:val="center"/>
          </w:tcPr>
          <w:p w14:paraId="63372D62" w14:textId="77777777" w:rsidR="00035307" w:rsidRDefault="00A614AD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Propósito</w:t>
            </w:r>
          </w:p>
        </w:tc>
      </w:tr>
      <w:tr w:rsidR="00035307" w14:paraId="06E93662" w14:textId="77777777">
        <w:trPr>
          <w:jc w:val="center"/>
        </w:trPr>
        <w:tc>
          <w:tcPr>
            <w:tcW w:w="2016" w:type="dxa"/>
            <w:shd w:val="clear" w:color="auto" w:fill="F4F6F9"/>
            <w:vAlign w:val="center"/>
          </w:tcPr>
          <w:p w14:paraId="40A0D37B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3312" w:type="dxa"/>
            <w:shd w:val="clear" w:color="auto" w:fill="F4F6F9"/>
            <w:vAlign w:val="center"/>
          </w:tcPr>
          <w:p w14:paraId="74DDEE79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/health</w:t>
            </w:r>
          </w:p>
        </w:tc>
        <w:tc>
          <w:tcPr>
            <w:tcW w:w="1440" w:type="dxa"/>
            <w:shd w:val="clear" w:color="auto" w:fill="F4F6F9"/>
            <w:vAlign w:val="center"/>
          </w:tcPr>
          <w:p w14:paraId="01127B2B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GET</w:t>
            </w:r>
          </w:p>
        </w:tc>
        <w:tc>
          <w:tcPr>
            <w:tcW w:w="3600" w:type="dxa"/>
            <w:shd w:val="clear" w:color="auto" w:fill="F4F6F9"/>
            <w:vAlign w:val="center"/>
          </w:tcPr>
          <w:p w14:paraId="3D0BC09E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Verificación de salud y defaults del servicio.</w:t>
            </w:r>
          </w:p>
        </w:tc>
      </w:tr>
      <w:tr w:rsidR="00035307" w14:paraId="50599DFC" w14:textId="77777777">
        <w:trPr>
          <w:jc w:val="center"/>
        </w:trPr>
        <w:tc>
          <w:tcPr>
            <w:tcW w:w="2016" w:type="dxa"/>
            <w:shd w:val="clear" w:color="auto" w:fill="F4F6F9"/>
            <w:vAlign w:val="center"/>
          </w:tcPr>
          <w:p w14:paraId="3BD80965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3312" w:type="dxa"/>
            <w:shd w:val="clear" w:color="auto" w:fill="F4F6F9"/>
            <w:vAlign w:val="center"/>
          </w:tcPr>
          <w:p w14:paraId="69ED3F94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/funds/validate</w:t>
            </w:r>
          </w:p>
        </w:tc>
        <w:tc>
          <w:tcPr>
            <w:tcW w:w="1440" w:type="dxa"/>
            <w:shd w:val="clear" w:color="auto" w:fill="F4F6F9"/>
            <w:vAlign w:val="center"/>
          </w:tcPr>
          <w:p w14:paraId="4DAD1371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POST</w:t>
            </w:r>
          </w:p>
        </w:tc>
        <w:tc>
          <w:tcPr>
            <w:tcW w:w="3600" w:type="dxa"/>
            <w:shd w:val="clear" w:color="auto" w:fill="F4F6F9"/>
            <w:vAlign w:val="center"/>
          </w:tcPr>
          <w:p w14:paraId="03CFA780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Valida fondos y puede simular insuficiencia o error técnico.</w:t>
            </w:r>
          </w:p>
        </w:tc>
      </w:tr>
      <w:tr w:rsidR="00035307" w14:paraId="02646437" w14:textId="77777777">
        <w:trPr>
          <w:jc w:val="center"/>
        </w:trPr>
        <w:tc>
          <w:tcPr>
            <w:tcW w:w="2016" w:type="dxa"/>
            <w:shd w:val="clear" w:color="auto" w:fill="F4F6F9"/>
            <w:vAlign w:val="center"/>
          </w:tcPr>
          <w:p w14:paraId="190EA723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3312" w:type="dxa"/>
            <w:shd w:val="clear" w:color="auto" w:fill="F4F6F9"/>
            <w:vAlign w:val="center"/>
          </w:tcPr>
          <w:p w14:paraId="622EB457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/bank/confirm</w:t>
            </w:r>
          </w:p>
        </w:tc>
        <w:tc>
          <w:tcPr>
            <w:tcW w:w="1440" w:type="dxa"/>
            <w:shd w:val="clear" w:color="auto" w:fill="F4F6F9"/>
            <w:vAlign w:val="center"/>
          </w:tcPr>
          <w:p w14:paraId="34C96A83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POST</w:t>
            </w:r>
          </w:p>
        </w:tc>
        <w:tc>
          <w:tcPr>
            <w:tcW w:w="3600" w:type="dxa"/>
            <w:shd w:val="clear" w:color="auto" w:fill="F4F6F9"/>
            <w:vAlign w:val="center"/>
          </w:tcPr>
          <w:p w14:paraId="2E07F590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Confirma o rechaza el pago bancario.</w:t>
            </w:r>
          </w:p>
        </w:tc>
      </w:tr>
      <w:tr w:rsidR="00035307" w14:paraId="3D985434" w14:textId="77777777">
        <w:trPr>
          <w:jc w:val="center"/>
        </w:trPr>
        <w:tc>
          <w:tcPr>
            <w:tcW w:w="2016" w:type="dxa"/>
            <w:shd w:val="clear" w:color="auto" w:fill="F4F6F9"/>
            <w:vAlign w:val="center"/>
          </w:tcPr>
          <w:p w14:paraId="60654FB8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3312" w:type="dxa"/>
            <w:shd w:val="clear" w:color="auto" w:fill="F4F6F9"/>
            <w:vAlign w:val="center"/>
          </w:tcPr>
          <w:p w14:paraId="29B03976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/recaudo/bogota</w:t>
            </w:r>
          </w:p>
        </w:tc>
        <w:tc>
          <w:tcPr>
            <w:tcW w:w="1440" w:type="dxa"/>
            <w:shd w:val="clear" w:color="auto" w:fill="F4F6F9"/>
            <w:vAlign w:val="center"/>
          </w:tcPr>
          <w:p w14:paraId="689938C2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POST</w:t>
            </w:r>
          </w:p>
        </w:tc>
        <w:tc>
          <w:tcPr>
            <w:tcW w:w="3600" w:type="dxa"/>
            <w:shd w:val="clear" w:color="auto" w:fill="F4F6F9"/>
            <w:vAlign w:val="center"/>
          </w:tcPr>
          <w:p w14:paraId="592362F6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Emula autorización de recaudo.</w:t>
            </w:r>
          </w:p>
        </w:tc>
      </w:tr>
      <w:tr w:rsidR="00035307" w14:paraId="36028EF2" w14:textId="77777777">
        <w:trPr>
          <w:jc w:val="center"/>
        </w:trPr>
        <w:tc>
          <w:tcPr>
            <w:tcW w:w="2016" w:type="dxa"/>
            <w:shd w:val="clear" w:color="auto" w:fill="F4F6F9"/>
            <w:vAlign w:val="center"/>
          </w:tcPr>
          <w:p w14:paraId="17E32AC1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3312" w:type="dxa"/>
            <w:shd w:val="clear" w:color="auto" w:fill="F4F6F9"/>
            <w:vAlign w:val="center"/>
          </w:tcPr>
          <w:p w14:paraId="00EBFC1E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/tullave/activate</w:t>
            </w:r>
          </w:p>
        </w:tc>
        <w:tc>
          <w:tcPr>
            <w:tcW w:w="1440" w:type="dxa"/>
            <w:shd w:val="clear" w:color="auto" w:fill="F4F6F9"/>
            <w:vAlign w:val="center"/>
          </w:tcPr>
          <w:p w14:paraId="7833C1BE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POST</w:t>
            </w:r>
          </w:p>
        </w:tc>
        <w:tc>
          <w:tcPr>
            <w:tcW w:w="3600" w:type="dxa"/>
            <w:shd w:val="clear" w:color="auto" w:fill="F4F6F9"/>
            <w:vAlign w:val="center"/>
          </w:tcPr>
          <w:p w14:paraId="749C94BA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Activa la recarga simulada en Tullave.</w:t>
            </w:r>
          </w:p>
        </w:tc>
      </w:tr>
      <w:tr w:rsidR="00035307" w14:paraId="4C3E0A8F" w14:textId="77777777">
        <w:trPr>
          <w:jc w:val="center"/>
        </w:trPr>
        <w:tc>
          <w:tcPr>
            <w:tcW w:w="2016" w:type="dxa"/>
            <w:shd w:val="clear" w:color="auto" w:fill="F4F6F9"/>
            <w:vAlign w:val="center"/>
          </w:tcPr>
          <w:p w14:paraId="1B3298A2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3312" w:type="dxa"/>
            <w:shd w:val="clear" w:color="auto" w:fill="F4F6F9"/>
            <w:vAlign w:val="center"/>
          </w:tcPr>
          <w:p w14:paraId="7F163399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/dian/report</w:t>
            </w:r>
          </w:p>
        </w:tc>
        <w:tc>
          <w:tcPr>
            <w:tcW w:w="1440" w:type="dxa"/>
            <w:shd w:val="clear" w:color="auto" w:fill="F4F6F9"/>
            <w:vAlign w:val="center"/>
          </w:tcPr>
          <w:p w14:paraId="11C66FFE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POST</w:t>
            </w:r>
          </w:p>
        </w:tc>
        <w:tc>
          <w:tcPr>
            <w:tcW w:w="3600" w:type="dxa"/>
            <w:shd w:val="clear" w:color="auto" w:fill="F4F6F9"/>
            <w:vAlign w:val="center"/>
          </w:tcPr>
          <w:p w14:paraId="04C31D0C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Emite el reporte fiscal simulado.</w:t>
            </w:r>
          </w:p>
        </w:tc>
      </w:tr>
      <w:tr w:rsidR="00035307" w14:paraId="5D5DC644" w14:textId="77777777">
        <w:trPr>
          <w:jc w:val="center"/>
        </w:trPr>
        <w:tc>
          <w:tcPr>
            <w:tcW w:w="2016" w:type="dxa"/>
            <w:shd w:val="clear" w:color="auto" w:fill="F4F6F9"/>
            <w:vAlign w:val="center"/>
          </w:tcPr>
          <w:p w14:paraId="0327E872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A</w:t>
            </w:r>
          </w:p>
        </w:tc>
        <w:tc>
          <w:tcPr>
            <w:tcW w:w="3312" w:type="dxa"/>
            <w:shd w:val="clear" w:color="auto" w:fill="F4F6F9"/>
            <w:vAlign w:val="center"/>
          </w:tcPr>
          <w:p w14:paraId="2D0CFE62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/notify/email</w:t>
            </w:r>
          </w:p>
        </w:tc>
        <w:tc>
          <w:tcPr>
            <w:tcW w:w="1440" w:type="dxa"/>
            <w:shd w:val="clear" w:color="auto" w:fill="F4F6F9"/>
            <w:vAlign w:val="center"/>
          </w:tcPr>
          <w:p w14:paraId="6687CC72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POST</w:t>
            </w:r>
          </w:p>
        </w:tc>
        <w:tc>
          <w:tcPr>
            <w:tcW w:w="3600" w:type="dxa"/>
            <w:shd w:val="clear" w:color="auto" w:fill="F4F6F9"/>
            <w:vAlign w:val="center"/>
          </w:tcPr>
          <w:p w14:paraId="02BB0FE7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Genera la notificación transaccional.</w:t>
            </w:r>
          </w:p>
        </w:tc>
      </w:tr>
      <w:tr w:rsidR="00035307" w14:paraId="3FD2134F" w14:textId="77777777">
        <w:trPr>
          <w:jc w:val="center"/>
        </w:trPr>
        <w:tc>
          <w:tcPr>
            <w:tcW w:w="2016" w:type="dxa"/>
            <w:shd w:val="clear" w:color="auto" w:fill="E9EDF3"/>
            <w:vAlign w:val="center"/>
          </w:tcPr>
          <w:p w14:paraId="718C0521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B</w:t>
            </w:r>
          </w:p>
        </w:tc>
        <w:tc>
          <w:tcPr>
            <w:tcW w:w="3312" w:type="dxa"/>
            <w:shd w:val="clear" w:color="auto" w:fill="E9EDF3"/>
            <w:vAlign w:val="center"/>
          </w:tcPr>
          <w:p w14:paraId="23ADBF72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/health</w:t>
            </w:r>
          </w:p>
        </w:tc>
        <w:tc>
          <w:tcPr>
            <w:tcW w:w="1440" w:type="dxa"/>
            <w:shd w:val="clear" w:color="auto" w:fill="E9EDF3"/>
            <w:vAlign w:val="center"/>
          </w:tcPr>
          <w:p w14:paraId="5B964703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GET</w:t>
            </w:r>
          </w:p>
        </w:tc>
        <w:tc>
          <w:tcPr>
            <w:tcW w:w="3600" w:type="dxa"/>
            <w:shd w:val="clear" w:color="auto" w:fill="E9EDF3"/>
            <w:vAlign w:val="center"/>
          </w:tcPr>
          <w:p w14:paraId="2F2F2CAF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 xml:space="preserve">Verificación de salud y </w:t>
            </w:r>
            <w:r>
              <w:rPr>
                <w:sz w:val="21"/>
              </w:rPr>
              <w:t>defaults del servicio.</w:t>
            </w:r>
          </w:p>
        </w:tc>
      </w:tr>
      <w:tr w:rsidR="00035307" w14:paraId="3D40F309" w14:textId="77777777">
        <w:trPr>
          <w:jc w:val="center"/>
        </w:trPr>
        <w:tc>
          <w:tcPr>
            <w:tcW w:w="2016" w:type="dxa"/>
            <w:shd w:val="clear" w:color="auto" w:fill="E9EDF3"/>
            <w:vAlign w:val="center"/>
          </w:tcPr>
          <w:p w14:paraId="793BA074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B</w:t>
            </w:r>
          </w:p>
        </w:tc>
        <w:tc>
          <w:tcPr>
            <w:tcW w:w="3312" w:type="dxa"/>
            <w:shd w:val="clear" w:color="auto" w:fill="E9EDF3"/>
            <w:vAlign w:val="center"/>
          </w:tcPr>
          <w:p w14:paraId="7F876B69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/id-gob/auth</w:t>
            </w:r>
          </w:p>
        </w:tc>
        <w:tc>
          <w:tcPr>
            <w:tcW w:w="1440" w:type="dxa"/>
            <w:shd w:val="clear" w:color="auto" w:fill="E9EDF3"/>
            <w:vAlign w:val="center"/>
          </w:tcPr>
          <w:p w14:paraId="0930A34B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POST</w:t>
            </w:r>
          </w:p>
        </w:tc>
        <w:tc>
          <w:tcPr>
            <w:tcW w:w="3600" w:type="dxa"/>
            <w:shd w:val="clear" w:color="auto" w:fill="E9EDF3"/>
            <w:vAlign w:val="center"/>
          </w:tcPr>
          <w:p w14:paraId="29F5295F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Autenticación ciudadana simulada con token.</w:t>
            </w:r>
          </w:p>
        </w:tc>
      </w:tr>
      <w:tr w:rsidR="00035307" w14:paraId="747C907D" w14:textId="77777777">
        <w:trPr>
          <w:jc w:val="center"/>
        </w:trPr>
        <w:tc>
          <w:tcPr>
            <w:tcW w:w="2016" w:type="dxa"/>
            <w:shd w:val="clear" w:color="auto" w:fill="E9EDF3"/>
            <w:vAlign w:val="center"/>
          </w:tcPr>
          <w:p w14:paraId="7FB86BB8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B</w:t>
            </w:r>
          </w:p>
        </w:tc>
        <w:tc>
          <w:tcPr>
            <w:tcW w:w="3312" w:type="dxa"/>
            <w:shd w:val="clear" w:color="auto" w:fill="E9EDF3"/>
            <w:vAlign w:val="center"/>
          </w:tcPr>
          <w:p w14:paraId="61096EAC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/registraduria/verify-identity</w:t>
            </w:r>
          </w:p>
        </w:tc>
        <w:tc>
          <w:tcPr>
            <w:tcW w:w="1440" w:type="dxa"/>
            <w:shd w:val="clear" w:color="auto" w:fill="E9EDF3"/>
            <w:vAlign w:val="center"/>
          </w:tcPr>
          <w:p w14:paraId="41E7AE00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POST</w:t>
            </w:r>
          </w:p>
        </w:tc>
        <w:tc>
          <w:tcPr>
            <w:tcW w:w="3600" w:type="dxa"/>
            <w:shd w:val="clear" w:color="auto" w:fill="E9EDF3"/>
            <w:vAlign w:val="center"/>
          </w:tcPr>
          <w:p w14:paraId="700B16F4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Valida identidad documental o biométrica.</w:t>
            </w:r>
          </w:p>
        </w:tc>
      </w:tr>
      <w:tr w:rsidR="00035307" w14:paraId="5F19BA8F" w14:textId="77777777">
        <w:trPr>
          <w:jc w:val="center"/>
        </w:trPr>
        <w:tc>
          <w:tcPr>
            <w:tcW w:w="2016" w:type="dxa"/>
            <w:shd w:val="clear" w:color="auto" w:fill="E9EDF3"/>
            <w:vAlign w:val="center"/>
          </w:tcPr>
          <w:p w14:paraId="69C0035E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lastRenderedPageBreak/>
              <w:t>B</w:t>
            </w:r>
          </w:p>
        </w:tc>
        <w:tc>
          <w:tcPr>
            <w:tcW w:w="3312" w:type="dxa"/>
            <w:shd w:val="clear" w:color="auto" w:fill="E9EDF3"/>
            <w:vAlign w:val="center"/>
          </w:tcPr>
          <w:p w14:paraId="064E2603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/policia/classify</w:t>
            </w:r>
          </w:p>
        </w:tc>
        <w:tc>
          <w:tcPr>
            <w:tcW w:w="1440" w:type="dxa"/>
            <w:shd w:val="clear" w:color="auto" w:fill="E9EDF3"/>
            <w:vAlign w:val="center"/>
          </w:tcPr>
          <w:p w14:paraId="7F14F40A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POST</w:t>
            </w:r>
          </w:p>
        </w:tc>
        <w:tc>
          <w:tcPr>
            <w:tcW w:w="3600" w:type="dxa"/>
            <w:shd w:val="clear" w:color="auto" w:fill="E9EDF3"/>
            <w:vAlign w:val="center"/>
          </w:tcPr>
          <w:p w14:paraId="61E31140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Clasifica el hecho y genera referencia policial.</w:t>
            </w:r>
          </w:p>
        </w:tc>
      </w:tr>
      <w:tr w:rsidR="00035307" w14:paraId="68DFFA2C" w14:textId="77777777">
        <w:trPr>
          <w:jc w:val="center"/>
        </w:trPr>
        <w:tc>
          <w:tcPr>
            <w:tcW w:w="2016" w:type="dxa"/>
            <w:shd w:val="clear" w:color="auto" w:fill="E9EDF3"/>
            <w:vAlign w:val="center"/>
          </w:tcPr>
          <w:p w14:paraId="7916F8E1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B</w:t>
            </w:r>
          </w:p>
        </w:tc>
        <w:tc>
          <w:tcPr>
            <w:tcW w:w="3312" w:type="dxa"/>
            <w:shd w:val="clear" w:color="auto" w:fill="E9EDF3"/>
            <w:vAlign w:val="center"/>
          </w:tcPr>
          <w:p w14:paraId="0156D663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/fiscalia/register</w:t>
            </w:r>
          </w:p>
        </w:tc>
        <w:tc>
          <w:tcPr>
            <w:tcW w:w="1440" w:type="dxa"/>
            <w:shd w:val="clear" w:color="auto" w:fill="E9EDF3"/>
            <w:vAlign w:val="center"/>
          </w:tcPr>
          <w:p w14:paraId="7B6B572C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POST</w:t>
            </w:r>
          </w:p>
        </w:tc>
        <w:tc>
          <w:tcPr>
            <w:tcW w:w="3600" w:type="dxa"/>
            <w:shd w:val="clear" w:color="auto" w:fill="E9EDF3"/>
            <w:vAlign w:val="center"/>
          </w:tcPr>
          <w:p w14:paraId="5FFC3090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Formaliza el caso y asigna radicado.</w:t>
            </w:r>
          </w:p>
        </w:tc>
      </w:tr>
      <w:tr w:rsidR="00035307" w14:paraId="74EF6C02" w14:textId="77777777">
        <w:trPr>
          <w:jc w:val="center"/>
        </w:trPr>
        <w:tc>
          <w:tcPr>
            <w:tcW w:w="2016" w:type="dxa"/>
            <w:shd w:val="clear" w:color="auto" w:fill="E9EDF3"/>
            <w:vAlign w:val="center"/>
          </w:tcPr>
          <w:p w14:paraId="738D5F78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B</w:t>
            </w:r>
          </w:p>
        </w:tc>
        <w:tc>
          <w:tcPr>
            <w:tcW w:w="3312" w:type="dxa"/>
            <w:shd w:val="clear" w:color="auto" w:fill="E9EDF3"/>
            <w:vAlign w:val="center"/>
          </w:tcPr>
          <w:p w14:paraId="1194779B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/georef/geocode</w:t>
            </w:r>
          </w:p>
        </w:tc>
        <w:tc>
          <w:tcPr>
            <w:tcW w:w="1440" w:type="dxa"/>
            <w:shd w:val="clear" w:color="auto" w:fill="E9EDF3"/>
            <w:vAlign w:val="center"/>
          </w:tcPr>
          <w:p w14:paraId="07BD3646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POST</w:t>
            </w:r>
          </w:p>
        </w:tc>
        <w:tc>
          <w:tcPr>
            <w:tcW w:w="3600" w:type="dxa"/>
            <w:shd w:val="clear" w:color="auto" w:fill="E9EDF3"/>
            <w:vAlign w:val="center"/>
          </w:tcPr>
          <w:p w14:paraId="00D7E16B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Normaliza ubicación y URI territorial.</w:t>
            </w:r>
          </w:p>
        </w:tc>
      </w:tr>
      <w:tr w:rsidR="00035307" w14:paraId="34786248" w14:textId="77777777">
        <w:trPr>
          <w:jc w:val="center"/>
        </w:trPr>
        <w:tc>
          <w:tcPr>
            <w:tcW w:w="2016" w:type="dxa"/>
            <w:shd w:val="clear" w:color="auto" w:fill="E9EDF3"/>
            <w:vAlign w:val="center"/>
          </w:tcPr>
          <w:p w14:paraId="200F7407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B</w:t>
            </w:r>
          </w:p>
        </w:tc>
        <w:tc>
          <w:tcPr>
            <w:tcW w:w="3312" w:type="dxa"/>
            <w:shd w:val="clear" w:color="auto" w:fill="E9EDF3"/>
            <w:vAlign w:val="center"/>
          </w:tcPr>
          <w:p w14:paraId="0BE2F3C2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/notify/email</w:t>
            </w:r>
          </w:p>
        </w:tc>
        <w:tc>
          <w:tcPr>
            <w:tcW w:w="1440" w:type="dxa"/>
            <w:shd w:val="clear" w:color="auto" w:fill="E9EDF3"/>
            <w:vAlign w:val="center"/>
          </w:tcPr>
          <w:p w14:paraId="1CAE0A55" w14:textId="77777777" w:rsidR="00035307" w:rsidRDefault="00A614AD">
            <w:pPr>
              <w:spacing w:before="60" w:after="60"/>
              <w:jc w:val="center"/>
            </w:pPr>
            <w:r>
              <w:rPr>
                <w:sz w:val="21"/>
              </w:rPr>
              <w:t>POST</w:t>
            </w:r>
          </w:p>
        </w:tc>
        <w:tc>
          <w:tcPr>
            <w:tcW w:w="3600" w:type="dxa"/>
            <w:shd w:val="clear" w:color="auto" w:fill="E9EDF3"/>
            <w:vAlign w:val="center"/>
          </w:tcPr>
          <w:p w14:paraId="5BCF22D6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Notifica copia certificada al ciudadano.</w:t>
            </w:r>
          </w:p>
        </w:tc>
      </w:tr>
    </w:tbl>
    <w:p w14:paraId="095F2546" w14:textId="77777777" w:rsidR="00035307" w:rsidRDefault="00A614AD">
      <w:pPr>
        <w:pStyle w:val="Ttulo1"/>
      </w:pPr>
      <w:r>
        <w:t>5. Configuración operacional</w:t>
      </w:r>
    </w:p>
    <w:p w14:paraId="22259BFD" w14:textId="77777777" w:rsidR="00035307" w:rsidRDefault="00A614AD">
      <w:pPr>
        <w:spacing w:after="160"/>
      </w:pPr>
      <w:r>
        <w:t xml:space="preserve">La configuración mínima se </w:t>
      </w:r>
      <w:r>
        <w:t>concentra en infra/.env. Las variables activas gobiernan autenticación básica de n8n, host/protocolo/puerto y credenciales de PostgreSQL. El archivo .env.example también incluye REDIS_HOST y REDIS_PORT, pero el stack actual no define un servicio Redis ni u</w:t>
      </w:r>
      <w:r>
        <w:t>sa EXECUTIONS_MODE en cola, por lo que esas variables hoy son residuales.</w:t>
      </w:r>
    </w:p>
    <w:p w14:paraId="17DDFD2C" w14:textId="77777777" w:rsidR="00035307" w:rsidRDefault="00A614AD">
      <w:pPr>
        <w:pStyle w:val="Listaconvietas"/>
        <w:spacing w:after="60" w:line="264" w:lineRule="auto"/>
      </w:pPr>
      <w:r>
        <w:rPr>
          <w:sz w:val="23"/>
        </w:rPr>
        <w:t>Arranque esperado: cp infra/.env.example infra/.env y luego docker compose up -d --build desde infra/.</w:t>
      </w:r>
    </w:p>
    <w:p w14:paraId="3A4646AB" w14:textId="77777777" w:rsidR="00035307" w:rsidRDefault="00A614AD">
      <w:pPr>
        <w:pStyle w:val="Listaconvietas"/>
        <w:spacing w:after="60" w:line="264" w:lineRule="auto"/>
      </w:pPr>
      <w:r>
        <w:rPr>
          <w:sz w:val="23"/>
        </w:rPr>
        <w:t>Validación inicial: GET /health en puertos 8001 y 8002, acceso web a n8n en 567</w:t>
      </w:r>
      <w:r>
        <w:rPr>
          <w:sz w:val="23"/>
        </w:rPr>
        <w:t>8 y Metabase en 3000.</w:t>
      </w:r>
    </w:p>
    <w:p w14:paraId="3511E51D" w14:textId="77777777" w:rsidR="00035307" w:rsidRDefault="00A614AD">
      <w:pPr>
        <w:pStyle w:val="Listaconvietas"/>
        <w:spacing w:after="60" w:line="264" w:lineRule="auto"/>
      </w:pPr>
      <w:r>
        <w:rPr>
          <w:sz w:val="23"/>
        </w:rPr>
        <w:t>Importación manual de workflows: los JSON actuales presentes en el repositorio son MAINWORKFLOW, RUNNER y ERROR TRIGGER por caso.</w:t>
      </w:r>
    </w:p>
    <w:p w14:paraId="0A8F5EF5" w14:textId="77777777" w:rsidR="00035307" w:rsidRDefault="00A614AD">
      <w:pPr>
        <w:pStyle w:val="Listaconvietas"/>
        <w:spacing w:after="60" w:line="264" w:lineRule="auto"/>
      </w:pPr>
      <w:r>
        <w:rPr>
          <w:sz w:val="23"/>
        </w:rPr>
        <w:t>Uso correcto de URLs en n8n: dentro del contenedor deben usarse casea-mock-api y caseb-mock-api, no loca</w:t>
      </w:r>
      <w:r>
        <w:rPr>
          <w:sz w:val="23"/>
        </w:rPr>
        <w:t>lhost.</w:t>
      </w:r>
    </w:p>
    <w:p w14:paraId="6022EEE4" w14:textId="7377419B" w:rsidR="00035307" w:rsidRDefault="005A260B">
      <w:pPr>
        <w:pStyle w:val="Ttulo1"/>
      </w:pPr>
      <w:r>
        <w:t>6</w:t>
      </w:r>
      <w:r w:rsidR="00A614AD">
        <w:t>. Inventario de artefactos relevantes</w:t>
      </w:r>
    </w:p>
    <w:p w14:paraId="37337A98" w14:textId="77777777" w:rsidR="00035307" w:rsidRDefault="00A614AD">
      <w:pPr>
        <w:spacing w:after="160"/>
      </w:pPr>
      <w:r>
        <w:t>El siguiente inventario resume los archivos más importantes para operar o entender el proyecto desde la perspectiva de infraestructura.</w:t>
      </w:r>
    </w:p>
    <w:tbl>
      <w:tblPr>
        <w:tblW w:w="0" w:type="auto"/>
        <w:jc w:val="center"/>
        <w:tblBorders>
          <w:top w:val="single" w:sz="8" w:space="0" w:color="3E5F8A"/>
          <w:left w:val="single" w:sz="8" w:space="0" w:color="3E5F8A"/>
          <w:bottom w:val="single" w:sz="8" w:space="0" w:color="3E5F8A"/>
          <w:right w:val="single" w:sz="8" w:space="0" w:color="3E5F8A"/>
          <w:insideH w:val="single" w:sz="8" w:space="0" w:color="3E5F8A"/>
          <w:insideV w:val="single" w:sz="8" w:space="0" w:color="3E5F8A"/>
        </w:tblBorders>
        <w:tblLayout w:type="fixed"/>
        <w:tblLook w:val="04A0" w:firstRow="1" w:lastRow="0" w:firstColumn="1" w:lastColumn="0" w:noHBand="0" w:noVBand="1"/>
      </w:tblPr>
      <w:tblGrid>
        <w:gridCol w:w="4176"/>
        <w:gridCol w:w="3213"/>
        <w:gridCol w:w="3528"/>
      </w:tblGrid>
      <w:tr w:rsidR="00035307" w14:paraId="13F569F0" w14:textId="77777777">
        <w:trPr>
          <w:jc w:val="center"/>
        </w:trPr>
        <w:tc>
          <w:tcPr>
            <w:tcW w:w="3213" w:type="dxa"/>
            <w:shd w:val="clear" w:color="auto" w:fill="5478A6"/>
            <w:vAlign w:val="center"/>
          </w:tcPr>
          <w:p w14:paraId="4CF2E3EC" w14:textId="77777777" w:rsidR="00035307" w:rsidRDefault="00A614AD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Ruta</w:t>
            </w:r>
          </w:p>
        </w:tc>
        <w:tc>
          <w:tcPr>
            <w:tcW w:w="3213" w:type="dxa"/>
            <w:shd w:val="clear" w:color="auto" w:fill="5478A6"/>
            <w:vAlign w:val="center"/>
          </w:tcPr>
          <w:p w14:paraId="1D1EB23F" w14:textId="77777777" w:rsidR="00035307" w:rsidRDefault="00A614AD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Tipo</w:t>
            </w:r>
          </w:p>
        </w:tc>
        <w:tc>
          <w:tcPr>
            <w:tcW w:w="3213" w:type="dxa"/>
            <w:shd w:val="clear" w:color="auto" w:fill="5478A6"/>
            <w:vAlign w:val="center"/>
          </w:tcPr>
          <w:p w14:paraId="3DA8E8BD" w14:textId="77777777" w:rsidR="00035307" w:rsidRDefault="00A614AD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Uso</w:t>
            </w:r>
          </w:p>
        </w:tc>
      </w:tr>
      <w:tr w:rsidR="00035307" w14:paraId="57014C2B" w14:textId="77777777">
        <w:trPr>
          <w:jc w:val="center"/>
        </w:trPr>
        <w:tc>
          <w:tcPr>
            <w:tcW w:w="4176" w:type="dxa"/>
            <w:shd w:val="clear" w:color="auto" w:fill="F4F6F9"/>
            <w:vAlign w:val="center"/>
          </w:tcPr>
          <w:p w14:paraId="48EDD668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infra/docker-compose.yml</w:t>
            </w:r>
          </w:p>
        </w:tc>
        <w:tc>
          <w:tcPr>
            <w:tcW w:w="2304" w:type="dxa"/>
            <w:shd w:val="clear" w:color="auto" w:fill="E9EDF3"/>
            <w:vAlign w:val="center"/>
          </w:tcPr>
          <w:p w14:paraId="674732CA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Infraestructura</w:t>
            </w:r>
          </w:p>
        </w:tc>
        <w:tc>
          <w:tcPr>
            <w:tcW w:w="3528" w:type="dxa"/>
            <w:shd w:val="clear" w:color="auto" w:fill="F4F6F9"/>
            <w:vAlign w:val="center"/>
          </w:tcPr>
          <w:p w14:paraId="31745583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Define los servicios, puertos, volúmenes y variables consumidas por el stack.</w:t>
            </w:r>
          </w:p>
        </w:tc>
      </w:tr>
      <w:tr w:rsidR="00035307" w14:paraId="2B0A776F" w14:textId="77777777">
        <w:trPr>
          <w:jc w:val="center"/>
        </w:trPr>
        <w:tc>
          <w:tcPr>
            <w:tcW w:w="4176" w:type="dxa"/>
            <w:shd w:val="clear" w:color="auto" w:fill="F4F6F9"/>
            <w:vAlign w:val="center"/>
          </w:tcPr>
          <w:p w14:paraId="67D3F5B2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infra/.env.example</w:t>
            </w:r>
          </w:p>
        </w:tc>
        <w:tc>
          <w:tcPr>
            <w:tcW w:w="2304" w:type="dxa"/>
            <w:shd w:val="clear" w:color="auto" w:fill="E9EDF3"/>
            <w:vAlign w:val="center"/>
          </w:tcPr>
          <w:p w14:paraId="498592F8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Configuración</w:t>
            </w:r>
          </w:p>
        </w:tc>
        <w:tc>
          <w:tcPr>
            <w:tcW w:w="3528" w:type="dxa"/>
            <w:shd w:val="clear" w:color="auto" w:fill="F4F6F9"/>
            <w:vAlign w:val="center"/>
          </w:tcPr>
          <w:p w14:paraId="2463FDC0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Plantilla de variables para arranque local.</w:t>
            </w:r>
          </w:p>
        </w:tc>
      </w:tr>
      <w:tr w:rsidR="00035307" w14:paraId="1961EB7A" w14:textId="77777777">
        <w:trPr>
          <w:jc w:val="center"/>
        </w:trPr>
        <w:tc>
          <w:tcPr>
            <w:tcW w:w="4176" w:type="dxa"/>
            <w:shd w:val="clear" w:color="auto" w:fill="F4F6F9"/>
            <w:vAlign w:val="center"/>
          </w:tcPr>
          <w:p w14:paraId="4B949824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caseA_mock_api/main.py</w:t>
            </w:r>
          </w:p>
        </w:tc>
        <w:tc>
          <w:tcPr>
            <w:tcW w:w="2304" w:type="dxa"/>
            <w:shd w:val="clear" w:color="auto" w:fill="E9EDF3"/>
            <w:vAlign w:val="center"/>
          </w:tcPr>
          <w:p w14:paraId="1E9D8D79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Backend mock</w:t>
            </w:r>
          </w:p>
        </w:tc>
        <w:tc>
          <w:tcPr>
            <w:tcW w:w="3528" w:type="dxa"/>
            <w:shd w:val="clear" w:color="auto" w:fill="F4F6F9"/>
            <w:vAlign w:val="center"/>
          </w:tcPr>
          <w:p w14:paraId="1D49201E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 xml:space="preserve">Implementa los endpoints simulados del </w:t>
            </w:r>
            <w:r>
              <w:rPr>
                <w:sz w:val="21"/>
              </w:rPr>
              <w:t>Caso A y controles de latencia/fallo.</w:t>
            </w:r>
          </w:p>
        </w:tc>
      </w:tr>
      <w:tr w:rsidR="00035307" w14:paraId="5D4F83AF" w14:textId="77777777">
        <w:trPr>
          <w:jc w:val="center"/>
        </w:trPr>
        <w:tc>
          <w:tcPr>
            <w:tcW w:w="4176" w:type="dxa"/>
            <w:shd w:val="clear" w:color="auto" w:fill="F4F6F9"/>
            <w:vAlign w:val="center"/>
          </w:tcPr>
          <w:p w14:paraId="5C937339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caseB_mock_api/main.py</w:t>
            </w:r>
          </w:p>
        </w:tc>
        <w:tc>
          <w:tcPr>
            <w:tcW w:w="2304" w:type="dxa"/>
            <w:shd w:val="clear" w:color="auto" w:fill="E9EDF3"/>
            <w:vAlign w:val="center"/>
          </w:tcPr>
          <w:p w14:paraId="1FB82BA0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Backend mock</w:t>
            </w:r>
          </w:p>
        </w:tc>
        <w:tc>
          <w:tcPr>
            <w:tcW w:w="3528" w:type="dxa"/>
            <w:shd w:val="clear" w:color="auto" w:fill="F4F6F9"/>
            <w:vAlign w:val="center"/>
          </w:tcPr>
          <w:p w14:paraId="776E4B66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Implementa los endpoints simulados del Caso B y controles de latencia/fallo.</w:t>
            </w:r>
          </w:p>
        </w:tc>
      </w:tr>
      <w:tr w:rsidR="00035307" w14:paraId="199A698E" w14:textId="77777777">
        <w:trPr>
          <w:jc w:val="center"/>
        </w:trPr>
        <w:tc>
          <w:tcPr>
            <w:tcW w:w="4176" w:type="dxa"/>
            <w:shd w:val="clear" w:color="auto" w:fill="F4F6F9"/>
            <w:vAlign w:val="center"/>
          </w:tcPr>
          <w:p w14:paraId="4E7BC5B0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workflows/casoA/CASO A - MAINWORKFLOW.json</w:t>
            </w:r>
          </w:p>
        </w:tc>
        <w:tc>
          <w:tcPr>
            <w:tcW w:w="2304" w:type="dxa"/>
            <w:shd w:val="clear" w:color="auto" w:fill="E9EDF3"/>
            <w:vAlign w:val="center"/>
          </w:tcPr>
          <w:p w14:paraId="7D5BC71A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Workflow</w:t>
            </w:r>
          </w:p>
        </w:tc>
        <w:tc>
          <w:tcPr>
            <w:tcW w:w="3528" w:type="dxa"/>
            <w:shd w:val="clear" w:color="auto" w:fill="F4F6F9"/>
            <w:vAlign w:val="center"/>
          </w:tcPr>
          <w:p w14:paraId="44F22C4D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Flujo principal de recarga Tullave.</w:t>
            </w:r>
          </w:p>
        </w:tc>
      </w:tr>
      <w:tr w:rsidR="00035307" w14:paraId="639695A1" w14:textId="77777777">
        <w:trPr>
          <w:jc w:val="center"/>
        </w:trPr>
        <w:tc>
          <w:tcPr>
            <w:tcW w:w="4176" w:type="dxa"/>
            <w:shd w:val="clear" w:color="auto" w:fill="F4F6F9"/>
            <w:vAlign w:val="center"/>
          </w:tcPr>
          <w:p w14:paraId="53D02F6C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 xml:space="preserve">workflows/casoB/CASO B - </w:t>
            </w:r>
            <w:r>
              <w:rPr>
                <w:sz w:val="21"/>
              </w:rPr>
              <w:lastRenderedPageBreak/>
              <w:t>MAINWORKFLOW.json</w:t>
            </w:r>
          </w:p>
        </w:tc>
        <w:tc>
          <w:tcPr>
            <w:tcW w:w="2304" w:type="dxa"/>
            <w:shd w:val="clear" w:color="auto" w:fill="E9EDF3"/>
            <w:vAlign w:val="center"/>
          </w:tcPr>
          <w:p w14:paraId="74B81CF8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lastRenderedPageBreak/>
              <w:t>Workflow</w:t>
            </w:r>
          </w:p>
        </w:tc>
        <w:tc>
          <w:tcPr>
            <w:tcW w:w="3528" w:type="dxa"/>
            <w:shd w:val="clear" w:color="auto" w:fill="F4F6F9"/>
            <w:vAlign w:val="center"/>
          </w:tcPr>
          <w:p w14:paraId="563C5505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Flujo principal de denuncia digital.</w:t>
            </w:r>
          </w:p>
        </w:tc>
      </w:tr>
      <w:tr w:rsidR="00035307" w14:paraId="34B6E6B2" w14:textId="77777777">
        <w:trPr>
          <w:jc w:val="center"/>
        </w:trPr>
        <w:tc>
          <w:tcPr>
            <w:tcW w:w="4176" w:type="dxa"/>
            <w:shd w:val="clear" w:color="auto" w:fill="F4F6F9"/>
            <w:vAlign w:val="center"/>
          </w:tcPr>
          <w:p w14:paraId="22F72226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workflows/casoA/CASO A - ERROR TRIGGER.json</w:t>
            </w:r>
          </w:p>
        </w:tc>
        <w:tc>
          <w:tcPr>
            <w:tcW w:w="2304" w:type="dxa"/>
            <w:shd w:val="clear" w:color="auto" w:fill="E9EDF3"/>
            <w:vAlign w:val="center"/>
          </w:tcPr>
          <w:p w14:paraId="7DE5CB6A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Workflow</w:t>
            </w:r>
          </w:p>
        </w:tc>
        <w:tc>
          <w:tcPr>
            <w:tcW w:w="3528" w:type="dxa"/>
            <w:shd w:val="clear" w:color="auto" w:fill="F4F6F9"/>
            <w:vAlign w:val="center"/>
          </w:tcPr>
          <w:p w14:paraId="73B9A9E0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Dead letter handler del Caso A.</w:t>
            </w:r>
          </w:p>
        </w:tc>
      </w:tr>
      <w:tr w:rsidR="00035307" w14:paraId="49831F80" w14:textId="77777777">
        <w:trPr>
          <w:jc w:val="center"/>
        </w:trPr>
        <w:tc>
          <w:tcPr>
            <w:tcW w:w="4176" w:type="dxa"/>
            <w:shd w:val="clear" w:color="auto" w:fill="F4F6F9"/>
            <w:vAlign w:val="center"/>
          </w:tcPr>
          <w:p w14:paraId="67BCF8ED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workflows/casoB/CASO B - ERROR TRIGGER.json</w:t>
            </w:r>
          </w:p>
        </w:tc>
        <w:tc>
          <w:tcPr>
            <w:tcW w:w="2304" w:type="dxa"/>
            <w:shd w:val="clear" w:color="auto" w:fill="E9EDF3"/>
            <w:vAlign w:val="center"/>
          </w:tcPr>
          <w:p w14:paraId="57A69A20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Workflow</w:t>
            </w:r>
          </w:p>
        </w:tc>
        <w:tc>
          <w:tcPr>
            <w:tcW w:w="3528" w:type="dxa"/>
            <w:shd w:val="clear" w:color="auto" w:fill="F4F6F9"/>
            <w:vAlign w:val="center"/>
          </w:tcPr>
          <w:p w14:paraId="2D73AB65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Dead letter handler del Cas</w:t>
            </w:r>
            <w:r>
              <w:rPr>
                <w:sz w:val="21"/>
              </w:rPr>
              <w:t>o B.</w:t>
            </w:r>
          </w:p>
        </w:tc>
      </w:tr>
      <w:tr w:rsidR="00035307" w14:paraId="38BE1749" w14:textId="77777777">
        <w:trPr>
          <w:jc w:val="center"/>
        </w:trPr>
        <w:tc>
          <w:tcPr>
            <w:tcW w:w="4176" w:type="dxa"/>
            <w:shd w:val="clear" w:color="auto" w:fill="F4F6F9"/>
            <w:vAlign w:val="center"/>
          </w:tcPr>
          <w:p w14:paraId="465C5B39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postman_collections/</w:t>
            </w:r>
          </w:p>
        </w:tc>
        <w:tc>
          <w:tcPr>
            <w:tcW w:w="2304" w:type="dxa"/>
            <w:shd w:val="clear" w:color="auto" w:fill="E9EDF3"/>
            <w:vAlign w:val="center"/>
          </w:tcPr>
          <w:p w14:paraId="60247EDC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Pruebas</w:t>
            </w:r>
          </w:p>
        </w:tc>
        <w:tc>
          <w:tcPr>
            <w:tcW w:w="3528" w:type="dxa"/>
            <w:shd w:val="clear" w:color="auto" w:fill="F4F6F9"/>
            <w:vAlign w:val="center"/>
          </w:tcPr>
          <w:p w14:paraId="7323A000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Colecciones y entorno ajustado para invocación de endpoints y webhooks.</w:t>
            </w:r>
          </w:p>
        </w:tc>
      </w:tr>
      <w:tr w:rsidR="00035307" w14:paraId="5E4327FB" w14:textId="77777777">
        <w:trPr>
          <w:jc w:val="center"/>
        </w:trPr>
        <w:tc>
          <w:tcPr>
            <w:tcW w:w="4176" w:type="dxa"/>
            <w:shd w:val="clear" w:color="auto" w:fill="F4F6F9"/>
            <w:vAlign w:val="center"/>
          </w:tcPr>
          <w:p w14:paraId="6F902BF3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docs/CasoA y docs/CasoB</w:t>
            </w:r>
          </w:p>
        </w:tc>
        <w:tc>
          <w:tcPr>
            <w:tcW w:w="2304" w:type="dxa"/>
            <w:shd w:val="clear" w:color="auto" w:fill="E9EDF3"/>
            <w:vAlign w:val="center"/>
          </w:tcPr>
          <w:p w14:paraId="08F300B7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Documentación</w:t>
            </w:r>
          </w:p>
        </w:tc>
        <w:tc>
          <w:tcPr>
            <w:tcW w:w="3528" w:type="dxa"/>
            <w:shd w:val="clear" w:color="auto" w:fill="F4F6F9"/>
            <w:vAlign w:val="center"/>
          </w:tcPr>
          <w:p w14:paraId="6D6F34A2" w14:textId="77777777" w:rsidR="00035307" w:rsidRDefault="00A614AD">
            <w:pPr>
              <w:spacing w:before="60" w:after="60"/>
            </w:pPr>
            <w:r>
              <w:rPr>
                <w:sz w:val="21"/>
              </w:rPr>
              <w:t>Soporte técnico y evidencia escrita para componentes funcionales específicos.</w:t>
            </w:r>
          </w:p>
        </w:tc>
      </w:tr>
    </w:tbl>
    <w:p w14:paraId="5161AF36" w14:textId="77777777" w:rsidR="00A614AD" w:rsidRDefault="00A614AD"/>
    <w:sectPr w:rsidR="00A614AD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DA7EF" w14:textId="77777777" w:rsidR="00A614AD" w:rsidRDefault="00A614AD">
      <w:pPr>
        <w:spacing w:after="0" w:line="240" w:lineRule="auto"/>
      </w:pPr>
      <w:r>
        <w:separator/>
      </w:r>
    </w:p>
  </w:endnote>
  <w:endnote w:type="continuationSeparator" w:id="0">
    <w:p w14:paraId="2EA3AEF6" w14:textId="77777777" w:rsidR="00A614AD" w:rsidRDefault="00A61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F8EE8" w14:textId="77777777" w:rsidR="00FC2497" w:rsidRDefault="00E65DCD">
    <w:pPr>
      <w:pStyle w:val="Piedepgina"/>
      <w:jc w:val="center"/>
    </w:pPr>
    <w:r>
      <w:rPr>
        <w:color w:val="426391"/>
      </w:rPr>
      <w:t>Infraestructura del proyecto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CA69C" w14:textId="77777777" w:rsidR="00A614AD" w:rsidRDefault="00A614AD">
      <w:pPr>
        <w:spacing w:after="0" w:line="240" w:lineRule="auto"/>
      </w:pPr>
      <w:r>
        <w:separator/>
      </w:r>
    </w:p>
  </w:footnote>
  <w:footnote w:type="continuationSeparator" w:id="0">
    <w:p w14:paraId="0677BA5D" w14:textId="77777777" w:rsidR="00A614AD" w:rsidRDefault="00A614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D380F" w14:textId="77777777" w:rsidR="00FC2497" w:rsidRDefault="00E65DCD">
    <w:pPr>
      <w:pStyle w:val="Encabezado"/>
      <w:jc w:val="right"/>
    </w:pPr>
    <w:r>
      <w:rPr>
        <w:color w:val="426391"/>
        <w:sz w:val="26"/>
      </w:rPr>
      <w:t>Documento técnico - Infraestructura del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307"/>
    <w:rsid w:val="0006063C"/>
    <w:rsid w:val="0015074B"/>
    <w:rsid w:val="0029639D"/>
    <w:rsid w:val="00326F90"/>
    <w:rsid w:val="005A260B"/>
    <w:rsid w:val="00A614AD"/>
    <w:rsid w:val="00AA1D8D"/>
    <w:rsid w:val="00B47730"/>
    <w:rsid w:val="00C14F4C"/>
    <w:rsid w:val="00CB0664"/>
    <w:rsid w:val="00E65DCD"/>
    <w:rsid w:val="00ED25C0"/>
    <w:rsid w:val="00FC24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23F4D9"/>
  <w14:defaultImageDpi w14:val="300"/>
  <w15:docId w15:val="{5D64D0A8-1920-474E-A67D-970CC195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2406C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2406C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1347</Words>
  <Characters>7414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LANCHEROS SANCHEZ CHRISTIAN CAMILO</cp:lastModifiedBy>
  <cp:revision>5</cp:revision>
  <dcterms:created xsi:type="dcterms:W3CDTF">2013-12-23T23:15:00Z</dcterms:created>
  <dcterms:modified xsi:type="dcterms:W3CDTF">2026-04-12T22:42:00Z</dcterms:modified>
  <cp:category/>
</cp:coreProperties>
</file>