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40" w:after="100"/>
        <w:contextualSpacing/>
        <w:rPr/>
      </w:pPr>
      <w:r>
        <w:rPr/>
        <w:t>Actividad final</w:t>
      </w:r>
    </w:p>
    <w:p>
      <w:pPr>
        <w:pStyle w:val="Subtitle"/>
        <w:rPr/>
      </w:pPr>
      <w:r>
        <w:rPr/>
        <w:t>Implementación, seguridad, calidad</w:t>
        <w:br/>
        <w:t>y cierre de FERXARP</w:t>
      </w:r>
    </w:p>
    <w:p>
      <w:pPr>
        <w:pStyle w:val="Normal"/>
        <w:spacing w:before="320" w:after="80"/>
        <w:rPr/>
      </w:pPr>
      <w:r>
        <w:rPr>
          <w:color w:val="166534"/>
          <w:sz w:val="32"/>
        </w:rPr>
        <w:t>FERXARP — Red Verde Solidaria</w:t>
      </w:r>
    </w:p>
    <w:p>
      <w:pPr>
        <w:pStyle w:val="Normal"/>
        <w:rPr/>
      </w:pPr>
      <w:r>
        <w:rPr>
          <w:sz w:val="18"/>
        </w:rPr>
        <w:t>Plataforma de distribución solidaria de excedentes</w:t>
      </w:r>
    </w:p>
    <w:p>
      <w:pPr>
        <w:pStyle w:val="Normal"/>
        <w:spacing w:before="0" w:after="520"/>
        <w:rPr/>
      </w:pPr>
      <w:r>
        <w:rPr/>
      </w:r>
    </w:p>
    <w:tbl>
      <w:tblPr>
        <w:tblW w:w="10224"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tcPr>
          <w:p>
            <w:pPr>
              <w:pStyle w:val="Normal"/>
              <w:spacing w:before="0" w:after="340"/>
              <w:rPr/>
            </w:pPr>
            <w:r>
              <w:rPr>
                <w:b/>
                <w:color w:val="19385F"/>
                <w:sz w:val="22"/>
              </w:rPr>
              <w:t>Alumnos</w:t>
            </w:r>
          </w:p>
        </w:tc>
        <w:tc>
          <w:tcPr>
            <w:tcW w:w="5112" w:type="dxa"/>
            <w:tcBorders/>
          </w:tcPr>
          <w:p>
            <w:pPr>
              <w:pStyle w:val="Normal"/>
              <w:spacing w:before="0" w:after="340"/>
              <w:rPr/>
            </w:pPr>
            <w:r>
              <w:rPr>
                <w:b w:val="false"/>
                <w:color w:val="243444"/>
                <w:sz w:val="22"/>
              </w:rPr>
              <w:t xml:space="preserve">Rodrigo Couary Fortuno, Daniel Malpica </w:t>
            </w:r>
            <w:r>
              <w:rPr>
                <w:b w:val="false"/>
                <w:color w:val="243444"/>
                <w:sz w:val="22"/>
              </w:rPr>
              <w:t>Garcia</w:t>
            </w:r>
            <w:r>
              <w:rPr>
                <w:b w:val="false"/>
                <w:color w:val="243444"/>
                <w:sz w:val="22"/>
              </w:rPr>
              <w:t xml:space="preserve"> Benitez</w:t>
            </w:r>
          </w:p>
        </w:tc>
      </w:tr>
      <w:tr>
        <w:trPr/>
        <w:tc>
          <w:tcPr>
            <w:tcW w:w="5112" w:type="dxa"/>
            <w:tcBorders/>
          </w:tcPr>
          <w:p>
            <w:pPr>
              <w:pStyle w:val="Normal"/>
              <w:spacing w:before="0" w:after="340"/>
              <w:rPr/>
            </w:pPr>
            <w:r>
              <w:rPr>
                <w:b/>
                <w:color w:val="19385F"/>
                <w:sz w:val="22"/>
              </w:rPr>
              <w:t>Materia</w:t>
            </w:r>
          </w:p>
        </w:tc>
        <w:tc>
          <w:tcPr>
            <w:tcW w:w="5112" w:type="dxa"/>
            <w:tcBorders/>
          </w:tcPr>
          <w:p>
            <w:pPr>
              <w:pStyle w:val="Normal"/>
              <w:spacing w:before="0" w:after="340"/>
              <w:rPr/>
            </w:pPr>
            <w:r>
              <w:rPr>
                <w:b w:val="false"/>
                <w:color w:val="243444"/>
                <w:sz w:val="22"/>
              </w:rPr>
              <w:t>Ingeniería de Software</w:t>
            </w:r>
          </w:p>
        </w:tc>
      </w:tr>
      <w:tr>
        <w:trPr/>
        <w:tc>
          <w:tcPr>
            <w:tcW w:w="5112" w:type="dxa"/>
            <w:tcBorders/>
          </w:tcPr>
          <w:p>
            <w:pPr>
              <w:pStyle w:val="Normal"/>
              <w:spacing w:before="0" w:after="340"/>
              <w:rPr/>
            </w:pPr>
            <w:r>
              <w:rPr>
                <w:b/>
                <w:color w:val="19385F"/>
                <w:sz w:val="22"/>
              </w:rPr>
              <w:t>Proyecto</w:t>
            </w:r>
          </w:p>
        </w:tc>
        <w:tc>
          <w:tcPr>
            <w:tcW w:w="5112" w:type="dxa"/>
            <w:tcBorders/>
          </w:tcPr>
          <w:p>
            <w:pPr>
              <w:pStyle w:val="Normal"/>
              <w:spacing w:before="0" w:after="340"/>
              <w:rPr/>
            </w:pPr>
            <w:r>
              <w:rPr>
                <w:b w:val="false"/>
                <w:color w:val="243444"/>
                <w:sz w:val="22"/>
              </w:rPr>
              <w:t>FERXARP</w:t>
            </w:r>
          </w:p>
        </w:tc>
      </w:tr>
      <w:tr>
        <w:trPr/>
        <w:tc>
          <w:tcPr>
            <w:tcW w:w="5112" w:type="dxa"/>
            <w:tcBorders/>
          </w:tcPr>
          <w:p>
            <w:pPr>
              <w:pStyle w:val="Normal"/>
              <w:spacing w:before="0" w:after="340"/>
              <w:rPr/>
            </w:pPr>
            <w:r>
              <w:rPr>
                <w:b/>
                <w:color w:val="19385F"/>
                <w:sz w:val="22"/>
              </w:rPr>
              <w:t>Tema</w:t>
            </w:r>
          </w:p>
        </w:tc>
        <w:tc>
          <w:tcPr>
            <w:tcW w:w="5112" w:type="dxa"/>
            <w:tcBorders/>
          </w:tcPr>
          <w:p>
            <w:pPr>
              <w:pStyle w:val="Normal"/>
              <w:spacing w:before="0" w:after="340"/>
              <w:rPr/>
            </w:pPr>
            <w:r>
              <w:rPr>
                <w:b w:val="false"/>
                <w:color w:val="243444"/>
                <w:sz w:val="22"/>
              </w:rPr>
              <w:t>Implementación, seguridad, CI/CD, pruebas, calidad, cierre y mejora continua</w:t>
            </w:r>
          </w:p>
        </w:tc>
      </w:tr>
      <w:tr>
        <w:trPr/>
        <w:tc>
          <w:tcPr>
            <w:tcW w:w="5112" w:type="dxa"/>
            <w:tcBorders/>
          </w:tcPr>
          <w:p>
            <w:pPr>
              <w:pStyle w:val="Normal"/>
              <w:spacing w:before="0" w:after="340"/>
              <w:rPr/>
            </w:pPr>
            <w:r>
              <w:rPr>
                <w:b/>
                <w:color w:val="19385F"/>
                <w:sz w:val="22"/>
              </w:rPr>
              <w:t>Fecha</w:t>
            </w:r>
          </w:p>
        </w:tc>
        <w:tc>
          <w:tcPr>
            <w:tcW w:w="5112" w:type="dxa"/>
            <w:tcBorders/>
          </w:tcPr>
          <w:p>
            <w:pPr>
              <w:pStyle w:val="Normal"/>
              <w:spacing w:before="0" w:after="340"/>
              <w:rPr/>
            </w:pPr>
            <w:r>
              <w:rPr>
                <w:b w:val="false"/>
                <w:color w:val="243444"/>
                <w:sz w:val="22"/>
              </w:rPr>
              <w:t>26 de septiembre de 2026</w:t>
            </w:r>
          </w:p>
        </w:tc>
      </w:tr>
    </w:tbl>
    <w:p>
      <w:pPr>
        <w:pStyle w:val="Heading1"/>
        <w:rPr/>
      </w:pPr>
      <w:r>
        <w:br w:type="page"/>
      </w:r>
      <w:r>
        <w:rPr/>
        <w:t>Resumen ejecutivo</w:t>
      </w:r>
    </w:p>
    <w:p>
      <w:pPr>
        <w:pStyle w:val="Normal"/>
        <w:rPr/>
      </w:pPr>
      <w:r>
        <w:rPr/>
        <w:t>FERXARP es una aplicación web que vincula excedentes de empresas con organizaciones sociales verificadas. El módulo evaluado integra autenticación JWT, cuatro roles, autorización por propiedad y un ciclo de donación que separa la aprobación de una solicitud de la salida física. PostgreSQL conserva la información transaccional y ChromaDB funciona como índice derivado para un matching híbrido con alternativa léxica.</w:t>
      </w:r>
    </w:p>
    <w:p>
      <w:pPr>
        <w:pStyle w:val="Normal"/>
        <w:rPr/>
      </w:pPr>
      <w:r>
        <w:rPr/>
        <w:t>La evidencia final reúne 74 pruebas Rust y 44 pruebas Jest aprobadas. La cobertura de líneas del módulo escolar Rust es 85.91%; la del alcance configurado de Jest, 98.04%. Estos valores no describen la totalidad de las dos aplicaciones. GitHub Actions acreditó remotamente pruebas y construcciones en un pull request y, en main, un despliegue efímero con comprobaciones de servicio y limpieza. No se trata de producción.</w:t>
      </w:r>
    </w:p>
    <w:p>
      <w:pPr>
        <w:pStyle w:val="Normal"/>
        <w:rPr/>
      </w:pPr>
      <w:r>
        <w:rPr/>
        <w:t>La evaluación de seguridad combinó OWASP ZAP, solicitudes HTTP dirigidas y Chromium. Se corrigieron CORS permisivo, encabezados y un XSS almacenado en el mapa, descubierto mediante navegador. Persiste una alerta Medium por ausencia de CSP. SonarQube terminó con Quality Gate PASS en frontend y backend; sus métricas corresponden al corte ACT-03. El rediseño posterior Red Verde Solidaria incorporó validación responsive y un recorrido funcional con los principales roles.</w:t>
      </w:r>
    </w:p>
    <w:p>
      <w:pPr>
        <w:pStyle w:val="Normal"/>
        <w:rPr/>
      </w:pPr>
      <w:r>
        <w:rPr/>
        <w:t>El cierre compara alcance, secuencia e hitos comprobables en Git, sin calcular retrasos para los que no existe una línea base fechada. El plan conserva 25 acciones medibles y tres innovaciones futuras. El reporte responde a los cinco criterios de la actividad mediante resultados, límites y referencias concretas, sin asignar una calificación.</w:t>
      </w:r>
    </w:p>
    <w:p>
      <w:pPr>
        <w:pStyle w:val="Heading1"/>
        <w:rPr/>
      </w:pPr>
      <w:r>
        <w:rPr/>
        <w:t>Contenido</w:t>
      </w:r>
    </w:p>
    <w:p>
      <w:pPr>
        <w:pStyle w:val="Normal"/>
        <w:tabs>
          <w:tab w:val="clear" w:pos="720"/>
          <w:tab w:val="right" w:pos="9504" w:leader="none"/>
        </w:tabs>
        <w:spacing w:before="0" w:after="100"/>
        <w:rPr/>
      </w:pPr>
      <w:r>
        <w:rPr/>
        <w:t>1. Introducción y contexto</w:t>
        <w:tab/>
        <w:t>3</w:t>
      </w:r>
    </w:p>
    <w:p>
      <w:pPr>
        <w:pStyle w:val="Normal"/>
        <w:tabs>
          <w:tab w:val="clear" w:pos="720"/>
          <w:tab w:val="right" w:pos="9504" w:leader="none"/>
        </w:tabs>
        <w:spacing w:before="0" w:after="100"/>
        <w:rPr/>
      </w:pPr>
      <w:r>
        <w:rPr/>
        <w:t>2. Implementación del módulo y seguridad</w:t>
        <w:tab/>
        <w:t>4–5</w:t>
      </w:r>
    </w:p>
    <w:p>
      <w:pPr>
        <w:pStyle w:val="Normal"/>
        <w:tabs>
          <w:tab w:val="clear" w:pos="720"/>
          <w:tab w:val="right" w:pos="9504" w:leader="none"/>
        </w:tabs>
        <w:spacing w:before="0" w:after="100"/>
        <w:rPr/>
      </w:pPr>
      <w:r>
        <w:rPr/>
        <w:t>3. Pipeline CI/CD</w:t>
        <w:tab/>
        <w:t>6</w:t>
      </w:r>
    </w:p>
    <w:p>
      <w:pPr>
        <w:pStyle w:val="Normal"/>
        <w:tabs>
          <w:tab w:val="clear" w:pos="720"/>
          <w:tab w:val="right" w:pos="9504" w:leader="none"/>
        </w:tabs>
        <w:spacing w:before="0" w:after="100"/>
        <w:rPr/>
      </w:pPr>
      <w:r>
        <w:rPr/>
        <w:t>4. Pruebas de seguridad y calidad</w:t>
        <w:tab/>
        <w:t>7–8</w:t>
      </w:r>
    </w:p>
    <w:p>
      <w:pPr>
        <w:pStyle w:val="Normal"/>
        <w:tabs>
          <w:tab w:val="clear" w:pos="720"/>
          <w:tab w:val="right" w:pos="9504" w:leader="none"/>
        </w:tabs>
        <w:spacing w:before="0" w:after="100"/>
        <w:rPr/>
      </w:pPr>
      <w:r>
        <w:rPr/>
        <w:t>5. Validación funcional y experiencia de usuario</w:t>
        <w:tab/>
        <w:t>9–12</w:t>
      </w:r>
    </w:p>
    <w:p>
      <w:pPr>
        <w:pStyle w:val="Normal"/>
        <w:tabs>
          <w:tab w:val="clear" w:pos="720"/>
          <w:tab w:val="right" w:pos="9504" w:leader="none"/>
        </w:tabs>
        <w:spacing w:before="0" w:after="100"/>
        <w:rPr/>
      </w:pPr>
      <w:r>
        <w:rPr/>
        <w:t>6. Cierre del proyecto</w:t>
        <w:tab/>
        <w:t>13–14</w:t>
      </w:r>
    </w:p>
    <w:p>
      <w:pPr>
        <w:pStyle w:val="Normal"/>
        <w:tabs>
          <w:tab w:val="clear" w:pos="720"/>
          <w:tab w:val="right" w:pos="9504" w:leader="none"/>
        </w:tabs>
        <w:spacing w:before="0" w:after="100"/>
        <w:rPr/>
      </w:pPr>
      <w:r>
        <w:rPr/>
        <w:t>7. Plan de mejora continua</w:t>
        <w:tab/>
        <w:t>15–16</w:t>
      </w:r>
    </w:p>
    <w:p>
      <w:pPr>
        <w:pStyle w:val="Normal"/>
        <w:tabs>
          <w:tab w:val="clear" w:pos="720"/>
          <w:tab w:val="right" w:pos="9504" w:leader="none"/>
        </w:tabs>
        <w:spacing w:before="0" w:after="100"/>
        <w:rPr/>
      </w:pPr>
      <w:r>
        <w:rPr/>
        <w:t>8. Conclusión</w:t>
        <w:tab/>
        <w:t>17</w:t>
      </w:r>
    </w:p>
    <w:p>
      <w:pPr>
        <w:pStyle w:val="Normal"/>
        <w:tabs>
          <w:tab w:val="clear" w:pos="720"/>
          <w:tab w:val="right" w:pos="9504" w:leader="none"/>
        </w:tabs>
        <w:spacing w:before="0" w:after="100"/>
        <w:rPr/>
      </w:pPr>
      <w:r>
        <w:rPr/>
        <w:t>9. Referencias / fuentes de evidencia</w:t>
        <w:tab/>
        <w:t>17</w:t>
      </w:r>
      <w:r>
        <w:br w:type="page"/>
      </w:r>
    </w:p>
    <w:p>
      <w:pPr>
        <w:pStyle w:val="Heading1"/>
        <w:spacing w:before="0" w:after="60"/>
        <w:rPr/>
      </w:pPr>
      <w:r>
        <w:rPr/>
        <w:t>1. Introducción y contexto</w:t>
      </w:r>
    </w:p>
    <w:p>
      <w:pPr>
        <w:pStyle w:val="Heading2"/>
        <w:spacing w:before="100" w:after="60"/>
        <w:rPr/>
      </w:pPr>
      <w:r>
        <w:rPr/>
        <w:t>1.1 Descripción de FERXARP</w:t>
      </w:r>
    </w:p>
    <w:p>
      <w:pPr>
        <w:pStyle w:val="Normal"/>
        <w:spacing w:lineRule="auto" w:line="240" w:before="0" w:after="20"/>
        <w:rPr/>
      </w:pPr>
      <w:r>
        <w:rPr/>
        <w:t>FERXARP — Red Verde Solidaria permite publicar excedentes, localizar organizaciones compatibles, solicitar una donación y registrar su traslado hasta la entrega o rechazo. La solución presenta vistas diferenciadas para Empresa, ONG, Administración y Dirección. Su alcance demostrado es una plataforma académica funcional y verificable en ambientes de prueba [1, 2].</w:t>
      </w:r>
    </w:p>
    <w:p>
      <w:pPr>
        <w:pStyle w:val="Heading2"/>
        <w:spacing w:before="100" w:after="60"/>
        <w:rPr/>
      </w:pPr>
      <w:r>
        <w:rPr/>
        <w:t>1.2 Problema que atiende</w:t>
      </w:r>
    </w:p>
    <w:p>
      <w:pPr>
        <w:pStyle w:val="Normal"/>
        <w:spacing w:lineRule="auto" w:line="240" w:before="0" w:after="20"/>
        <w:rPr/>
      </w:pPr>
      <w:r>
        <w:rPr/>
        <w:t>La coordinación de excedentes requiere conocer qué se ofrece, quién puede recibirlo y en qué etapa se encuentra cada entrega. FERXARP atiende esa necesidad con inventario, verificación de organizaciones, solicitudes y bitácora. No se atribuyen reducciones de desperdicio, tiempos logísticos o emisiones que no hayan sido medidas. El panel de impacto conserva estimaciones identificadas como tales.</w:t>
      </w:r>
    </w:p>
    <w:p>
      <w:pPr>
        <w:pStyle w:val="Heading2"/>
        <w:spacing w:before="100" w:after="60"/>
        <w:rPr/>
      </w:pPr>
      <w:r>
        <w:rPr/>
        <w:t>1.3 Objetivo general</w:t>
      </w:r>
    </w:p>
    <w:p>
      <w:pPr>
        <w:pStyle w:val="Normal"/>
        <w:spacing w:lineRule="auto" w:line="240" w:before="0" w:after="20"/>
        <w:rPr/>
      </w:pPr>
      <w:r>
        <w:rPr/>
        <w:t>Coordinar la distribución de excedentes de empresas hacia ONG verificadas, mediante solicitudes, seguimiento de entregas y trazabilidad, para facilitar su canalización a la comunidad beneficiaria.</w:t>
      </w:r>
    </w:p>
    <w:p>
      <w:pPr>
        <w:pStyle w:val="Heading2"/>
        <w:spacing w:before="100" w:after="60"/>
        <w:rPr/>
      </w:pPr>
      <w:r>
        <w:rPr/>
        <w:t>1.4 Objetivo de la actividad final</w:t>
      </w:r>
    </w:p>
    <w:p>
      <w:pPr>
        <w:pStyle w:val="Normal"/>
        <w:spacing w:lineRule="auto" w:line="240" w:before="0" w:after="20"/>
        <w:rPr/>
      </w:pPr>
      <w:r>
        <w:rPr/>
        <w:t>El objetivo es demostrar cinco dimensiones de Ingeniería de Software: un módulo funcional protegido y probado; un pipeline automatizado; evaluación de seguridad y calidad; cierre sustentado en evidencias; y mejora continua con acciones verificables. La revisión utiliza código, historial Git, reportes JSON, documentación interna y capturas reales. El corte documental corresponde al commit 756728b del 26 de septiembre de 2026; cada medición conserva su fecha y alcance originales.</w:t>
      </w:r>
    </w:p>
    <w:p>
      <w:pPr>
        <w:pStyle w:val="Heading2"/>
        <w:spacing w:before="100" w:after="60"/>
        <w:rPr/>
      </w:pPr>
      <w:r>
        <w:rPr/>
        <w:t>1.5 Partes interesadas</w:t>
      </w:r>
    </w:p>
    <w:tbl>
      <w:tblPr>
        <w:tblW w:w="10224" w:type="dxa"/>
        <w:jc w:val="start"/>
        <w:tblInd w:w="55" w:type="dxa"/>
        <w:tblLayout w:type="fixed"/>
        <w:tblCellMar>
          <w:top w:w="35" w:type="dxa"/>
          <w:start w:w="55" w:type="dxa"/>
          <w:bottom w:w="35" w:type="dxa"/>
          <w:end w:w="55" w:type="dxa"/>
        </w:tblCellMar>
        <w:tblLook w:noHBand="0" w:noVBand="1" w:firstColumn="1" w:lastRow="0" w:lastColumn="0" w:firstRow="1" w:val="04a0"/>
      </w:tblPr>
      <w:tblGrid>
        <w:gridCol w:w="2376"/>
        <w:gridCol w:w="7848"/>
      </w:tblGrid>
      <w:tr>
        <w:trPr>
          <w:tblHeader w:val="true"/>
          <w:cantSplit/>
        </w:trPr>
        <w:tc>
          <w:tcPr>
            <w:tcW w:w="2376" w:type="dxa"/>
            <w:tcBorders/>
            <w:shd w:fill="19385F" w:val="clear"/>
          </w:tcPr>
          <w:p>
            <w:pPr>
              <w:pStyle w:val="Normal"/>
              <w:spacing w:lineRule="auto" w:line="240" w:before="20" w:after="20"/>
              <w:rPr/>
            </w:pPr>
            <w:r>
              <w:rPr>
                <w:b/>
                <w:color w:val="FFFFFF"/>
                <w:sz w:val="18"/>
              </w:rPr>
              <w:t>Parte interesada</w:t>
            </w:r>
          </w:p>
        </w:tc>
        <w:tc>
          <w:tcPr>
            <w:tcW w:w="7848" w:type="dxa"/>
            <w:tcBorders/>
            <w:shd w:fill="19385F" w:val="clear"/>
          </w:tcPr>
          <w:p>
            <w:pPr>
              <w:pStyle w:val="Normal"/>
              <w:spacing w:lineRule="auto" w:line="240" w:before="20" w:after="20"/>
              <w:rPr/>
            </w:pPr>
            <w:r>
              <w:rPr>
                <w:b/>
                <w:color w:val="FFFFFF"/>
                <w:sz w:val="18"/>
              </w:rPr>
              <w:t>Interés o participación</w:t>
            </w:r>
          </w:p>
        </w:tc>
      </w:tr>
      <w:tr>
        <w:trPr>
          <w:cantSplit/>
        </w:trPr>
        <w:tc>
          <w:tcPr>
            <w:tcW w:w="2376" w:type="dxa"/>
            <w:tcBorders/>
            <w:shd w:fill="F0F4F8" w:val="clear"/>
          </w:tcPr>
          <w:p>
            <w:pPr>
              <w:pStyle w:val="Normal"/>
              <w:spacing w:lineRule="auto" w:line="240" w:before="20" w:after="20"/>
              <w:rPr/>
            </w:pPr>
            <w:r>
              <w:rPr>
                <w:b w:val="false"/>
                <w:color w:val="243444"/>
                <w:sz w:val="18"/>
              </w:rPr>
              <w:t>Empresas donantes</w:t>
            </w:r>
          </w:p>
        </w:tc>
        <w:tc>
          <w:tcPr>
            <w:tcW w:w="7848" w:type="dxa"/>
            <w:tcBorders/>
            <w:shd w:fill="F0F4F8" w:val="clear"/>
          </w:tcPr>
          <w:p>
            <w:pPr>
              <w:pStyle w:val="Normal"/>
              <w:spacing w:lineRule="auto" w:line="240" w:before="20" w:after="20"/>
              <w:rPr/>
            </w:pPr>
            <w:r>
              <w:rPr>
                <w:b w:val="false"/>
                <w:color w:val="243444"/>
                <w:sz w:val="18"/>
              </w:rPr>
              <w:t>Publicar excedentes y coordinar su asignación y salida.</w:t>
            </w:r>
          </w:p>
        </w:tc>
      </w:tr>
      <w:tr>
        <w:trPr>
          <w:cantSplit/>
        </w:trPr>
        <w:tc>
          <w:tcPr>
            <w:tcW w:w="2376" w:type="dxa"/>
            <w:tcBorders/>
            <w:shd w:fill="FFFFFF" w:val="clear"/>
          </w:tcPr>
          <w:p>
            <w:pPr>
              <w:pStyle w:val="Normal"/>
              <w:spacing w:lineRule="auto" w:line="240" w:before="20" w:after="20"/>
              <w:rPr/>
            </w:pPr>
            <w:r>
              <w:rPr>
                <w:b w:val="false"/>
                <w:color w:val="243444"/>
                <w:sz w:val="18"/>
              </w:rPr>
              <w:t>ONG</w:t>
            </w:r>
          </w:p>
        </w:tc>
        <w:tc>
          <w:tcPr>
            <w:tcW w:w="7848" w:type="dxa"/>
            <w:tcBorders/>
            <w:shd w:fill="FFFFFF" w:val="clear"/>
          </w:tcPr>
          <w:p>
            <w:pPr>
              <w:pStyle w:val="Normal"/>
              <w:spacing w:lineRule="auto" w:line="240" w:before="20" w:after="20"/>
              <w:rPr/>
            </w:pPr>
            <w:r>
              <w:rPr>
                <w:b w:val="false"/>
                <w:color w:val="243444"/>
                <w:sz w:val="18"/>
              </w:rPr>
              <w:t>Solicitar y recibir donaciones según sus necesidades.</w:t>
            </w:r>
          </w:p>
        </w:tc>
      </w:tr>
      <w:tr>
        <w:trPr>
          <w:cantSplit/>
        </w:trPr>
        <w:tc>
          <w:tcPr>
            <w:tcW w:w="2376" w:type="dxa"/>
            <w:tcBorders/>
            <w:shd w:fill="F0F4F8" w:val="clear"/>
          </w:tcPr>
          <w:p>
            <w:pPr>
              <w:pStyle w:val="Normal"/>
              <w:spacing w:lineRule="auto" w:line="240" w:before="20" w:after="20"/>
              <w:rPr/>
            </w:pPr>
            <w:r>
              <w:rPr>
                <w:b w:val="false"/>
                <w:color w:val="243444"/>
                <w:sz w:val="18"/>
              </w:rPr>
              <w:t>Administración</w:t>
            </w:r>
          </w:p>
        </w:tc>
        <w:tc>
          <w:tcPr>
            <w:tcW w:w="7848" w:type="dxa"/>
            <w:tcBorders/>
            <w:shd w:fill="F0F4F8" w:val="clear"/>
          </w:tcPr>
          <w:p>
            <w:pPr>
              <w:pStyle w:val="Normal"/>
              <w:spacing w:lineRule="auto" w:line="240" w:before="20" w:after="20"/>
              <w:rPr/>
            </w:pPr>
            <w:r>
              <w:rPr>
                <w:b w:val="false"/>
                <w:color w:val="243444"/>
                <w:sz w:val="18"/>
              </w:rPr>
              <w:t>Verificar organizaciones y supervisar los accesos administrativos.</w:t>
            </w:r>
          </w:p>
        </w:tc>
      </w:tr>
      <w:tr>
        <w:trPr>
          <w:cantSplit/>
        </w:trPr>
        <w:tc>
          <w:tcPr>
            <w:tcW w:w="2376" w:type="dxa"/>
            <w:tcBorders/>
            <w:shd w:fill="FFFFFF" w:val="clear"/>
          </w:tcPr>
          <w:p>
            <w:pPr>
              <w:pStyle w:val="Normal"/>
              <w:spacing w:lineRule="auto" w:line="240" w:before="20" w:after="20"/>
              <w:rPr/>
            </w:pPr>
            <w:r>
              <w:rPr>
                <w:b w:val="false"/>
                <w:color w:val="243444"/>
                <w:sz w:val="18"/>
              </w:rPr>
              <w:t>Dirección/CEO</w:t>
            </w:r>
          </w:p>
        </w:tc>
        <w:tc>
          <w:tcPr>
            <w:tcW w:w="7848" w:type="dxa"/>
            <w:tcBorders/>
            <w:shd w:fill="FFFFFF" w:val="clear"/>
          </w:tcPr>
          <w:p>
            <w:pPr>
              <w:pStyle w:val="Normal"/>
              <w:spacing w:lineRule="auto" w:line="240" w:before="20" w:after="20"/>
              <w:rPr/>
            </w:pPr>
            <w:r>
              <w:rPr>
                <w:b w:val="false"/>
                <w:color w:val="243444"/>
                <w:sz w:val="18"/>
              </w:rPr>
              <w:t>Consultar indicadores para orientar decisiones de gestión.</w:t>
            </w:r>
          </w:p>
        </w:tc>
      </w:tr>
      <w:tr>
        <w:trPr>
          <w:cantSplit/>
        </w:trPr>
        <w:tc>
          <w:tcPr>
            <w:tcW w:w="2376" w:type="dxa"/>
            <w:tcBorders/>
            <w:shd w:fill="F0F4F8" w:val="clear"/>
          </w:tcPr>
          <w:p>
            <w:pPr>
              <w:pStyle w:val="Normal"/>
              <w:spacing w:lineRule="auto" w:line="240" w:before="20" w:after="20"/>
              <w:rPr/>
            </w:pPr>
            <w:r>
              <w:rPr>
                <w:b w:val="false"/>
                <w:color w:val="243444"/>
                <w:sz w:val="18"/>
              </w:rPr>
              <w:t>Equipo técnico</w:t>
            </w:r>
          </w:p>
        </w:tc>
        <w:tc>
          <w:tcPr>
            <w:tcW w:w="7848" w:type="dxa"/>
            <w:tcBorders/>
            <w:shd w:fill="F0F4F8" w:val="clear"/>
          </w:tcPr>
          <w:p>
            <w:pPr>
              <w:pStyle w:val="Normal"/>
              <w:spacing w:lineRule="auto" w:line="240" w:before="20" w:after="20"/>
              <w:rPr/>
            </w:pPr>
            <w:r>
              <w:rPr>
                <w:b w:val="false"/>
                <w:color w:val="243444"/>
                <w:sz w:val="18"/>
              </w:rPr>
              <w:t>Mantener la aplicación, las pruebas, la seguridad y el despliegue.</w:t>
            </w:r>
          </w:p>
        </w:tc>
      </w:tr>
      <w:tr>
        <w:trPr>
          <w:cantSplit/>
        </w:trPr>
        <w:tc>
          <w:tcPr>
            <w:tcW w:w="2376" w:type="dxa"/>
            <w:tcBorders/>
            <w:shd w:fill="FFFFFF" w:val="clear"/>
          </w:tcPr>
          <w:p>
            <w:pPr>
              <w:pStyle w:val="Normal"/>
              <w:spacing w:lineRule="auto" w:line="240" w:before="20" w:after="20"/>
              <w:rPr/>
            </w:pPr>
            <w:r>
              <w:rPr>
                <w:b w:val="false"/>
                <w:color w:val="243444"/>
                <w:sz w:val="18"/>
              </w:rPr>
              <w:t>Comunidad beneficiaria</w:t>
            </w:r>
          </w:p>
        </w:tc>
        <w:tc>
          <w:tcPr>
            <w:tcW w:w="7848" w:type="dxa"/>
            <w:tcBorders/>
            <w:shd w:fill="FFFFFF" w:val="clear"/>
          </w:tcPr>
          <w:p>
            <w:pPr>
              <w:pStyle w:val="Normal"/>
              <w:spacing w:lineRule="auto" w:line="240" w:before="20" w:after="20"/>
              <w:rPr/>
            </w:pPr>
            <w:r>
              <w:rPr>
                <w:b w:val="false"/>
                <w:color w:val="243444"/>
                <w:sz w:val="18"/>
              </w:rPr>
              <w:t>Recibir los excedentes canalizados a través de las ONG.</w:t>
            </w:r>
          </w:p>
        </w:tc>
      </w:tr>
    </w:tbl>
    <w:p>
      <w:pPr>
        <w:pStyle w:val="Heading2"/>
        <w:spacing w:before="100" w:after="60"/>
        <w:rPr/>
      </w:pPr>
      <w:r>
        <w:rPr/>
        <w:t>1.6 Arquitectura general</w:t>
      </w:r>
    </w:p>
    <w:p>
      <w:pPr>
        <w:pStyle w:val="Normal"/>
        <w:spacing w:lineRule="auto" w:line="240" w:before="0" w:after="20"/>
        <w:rPr/>
      </w:pPr>
      <w:r>
        <w:rPr/>
        <w:t>El navegador consume una API Rust/Axum. El backend modular centraliza autorización y reglas de negocio, persiste con SQLx en PostgreSQL y consulta ChromaDB para similitud vectorial. Docker Compose orquesta cuatro servicios. Aunque la documentación inicial menciona Supabase y microservicios, la evidencia evaluada utiliza PostgreSQL local y un backend modular, no una operación productiva de servicios independientes.</w:t>
      </w:r>
    </w:p>
    <w:p>
      <w:pPr>
        <w:pStyle w:val="Normal"/>
        <w:keepNext w:val="true"/>
        <w:spacing w:lineRule="auto" w:line="240" w:before="0" w:after="20"/>
        <w:rPr/>
      </w:pPr>
      <w:r>
        <w:rPr>
          <w:sz w:val="18"/>
        </w:rPr>
        <w:t>Tabla 1. Stack tecnológico y responsabilidad</w:t>
      </w:r>
    </w:p>
    <w:tbl>
      <w:tblPr>
        <w:tblW w:w="10224" w:type="dxa"/>
        <w:jc w:val="center"/>
        <w:tblInd w:w="0" w:type="dxa"/>
        <w:tblLayout w:type="fixed"/>
        <w:tblCellMar>
          <w:top w:w="35" w:type="dxa"/>
          <w:start w:w="55" w:type="dxa"/>
          <w:bottom w:w="35" w:type="dxa"/>
          <w:end w:w="55" w:type="dxa"/>
        </w:tblCellMar>
        <w:tblLook w:noHBand="0" w:noVBand="1" w:firstColumn="1" w:lastRow="0" w:lastColumn="0" w:firstRow="1" w:val="04a0"/>
      </w:tblPr>
      <w:tblGrid>
        <w:gridCol w:w="1438"/>
        <w:gridCol w:w="3240"/>
        <w:gridCol w:w="5546"/>
      </w:tblGrid>
      <w:tr>
        <w:trPr>
          <w:tblHeader w:val="true"/>
          <w:cantSplit/>
        </w:trPr>
        <w:tc>
          <w:tcPr>
            <w:tcW w:w="1438" w:type="dxa"/>
            <w:tcBorders/>
            <w:shd w:fill="19385F" w:val="clear"/>
            <w:vAlign w:val="center"/>
          </w:tcPr>
          <w:p>
            <w:pPr>
              <w:pStyle w:val="Normal"/>
              <w:spacing w:lineRule="auto" w:line="240" w:before="20" w:after="20"/>
              <w:rPr/>
            </w:pPr>
            <w:r>
              <w:rPr>
                <w:b/>
                <w:color w:val="FFFFFF"/>
                <w:sz w:val="18"/>
              </w:rPr>
              <w:t>Capa</w:t>
            </w:r>
          </w:p>
        </w:tc>
        <w:tc>
          <w:tcPr>
            <w:tcW w:w="3240" w:type="dxa"/>
            <w:tcBorders/>
            <w:shd w:fill="19385F" w:val="clear"/>
            <w:vAlign w:val="center"/>
          </w:tcPr>
          <w:p>
            <w:pPr>
              <w:pStyle w:val="Normal"/>
              <w:spacing w:lineRule="auto" w:line="240" w:before="20" w:after="20"/>
              <w:rPr/>
            </w:pPr>
            <w:r>
              <w:rPr>
                <w:b/>
                <w:color w:val="FFFFFF"/>
                <w:sz w:val="18"/>
              </w:rPr>
              <w:t>Tecnologías</w:t>
            </w:r>
          </w:p>
        </w:tc>
        <w:tc>
          <w:tcPr>
            <w:tcW w:w="5546" w:type="dxa"/>
            <w:tcBorders/>
            <w:shd w:fill="19385F" w:val="clear"/>
            <w:vAlign w:val="center"/>
          </w:tcPr>
          <w:p>
            <w:pPr>
              <w:pStyle w:val="Normal"/>
              <w:spacing w:lineRule="auto" w:line="240" w:before="20" w:after="20"/>
              <w:rPr/>
            </w:pPr>
            <w:r>
              <w:rPr>
                <w:b/>
                <w:color w:val="FFFFFF"/>
                <w:sz w:val="18"/>
              </w:rPr>
              <w:t>Responsabilidad</w:t>
            </w:r>
          </w:p>
        </w:tc>
      </w:tr>
      <w:tr>
        <w:trPr>
          <w:cantSplit/>
        </w:trPr>
        <w:tc>
          <w:tcPr>
            <w:tcW w:w="1438" w:type="dxa"/>
            <w:tcBorders/>
            <w:shd w:fill="F0F4F8" w:val="clear"/>
            <w:vAlign w:val="center"/>
          </w:tcPr>
          <w:p>
            <w:pPr>
              <w:pStyle w:val="Normal"/>
              <w:spacing w:lineRule="auto" w:line="240" w:before="20" w:after="20"/>
              <w:rPr/>
            </w:pPr>
            <w:r>
              <w:rPr>
                <w:b w:val="false"/>
                <w:color w:val="243444"/>
                <w:sz w:val="18"/>
              </w:rPr>
              <w:t>Interfaz</w:t>
            </w:r>
          </w:p>
        </w:tc>
        <w:tc>
          <w:tcPr>
            <w:tcW w:w="3240" w:type="dxa"/>
            <w:tcBorders/>
            <w:shd w:fill="F0F4F8" w:val="clear"/>
            <w:vAlign w:val="center"/>
          </w:tcPr>
          <w:p>
            <w:pPr>
              <w:pStyle w:val="Normal"/>
              <w:spacing w:lineRule="auto" w:line="240" w:before="20" w:after="20"/>
              <w:rPr/>
            </w:pPr>
            <w:r>
              <w:rPr>
                <w:b w:val="false"/>
                <w:color w:val="243444"/>
                <w:sz w:val="18"/>
              </w:rPr>
              <w:t>Next.js, React, TypeScript, Tailwind</w:t>
            </w:r>
          </w:p>
        </w:tc>
        <w:tc>
          <w:tcPr>
            <w:tcW w:w="5546" w:type="dxa"/>
            <w:tcBorders/>
            <w:shd w:fill="F0F4F8" w:val="clear"/>
            <w:vAlign w:val="center"/>
          </w:tcPr>
          <w:p>
            <w:pPr>
              <w:pStyle w:val="Normal"/>
              <w:spacing w:lineRule="auto" w:line="240" w:before="20" w:after="20"/>
              <w:rPr/>
            </w:pPr>
            <w:r>
              <w:rPr>
                <w:b w:val="false"/>
                <w:color w:val="243444"/>
                <w:sz w:val="18"/>
              </w:rPr>
              <w:t>Vistas por rol, formularios, estados y navegación.</w:t>
            </w:r>
          </w:p>
        </w:tc>
      </w:tr>
      <w:tr>
        <w:trPr>
          <w:cantSplit/>
        </w:trPr>
        <w:tc>
          <w:tcPr>
            <w:tcW w:w="1438" w:type="dxa"/>
            <w:tcBorders/>
            <w:shd w:fill="FFFFFF" w:val="clear"/>
            <w:vAlign w:val="center"/>
          </w:tcPr>
          <w:p>
            <w:pPr>
              <w:pStyle w:val="Normal"/>
              <w:spacing w:lineRule="auto" w:line="240" w:before="20" w:after="20"/>
              <w:rPr/>
            </w:pPr>
            <w:r>
              <w:rPr>
                <w:b w:val="false"/>
                <w:color w:val="243444"/>
                <w:sz w:val="18"/>
              </w:rPr>
              <w:t>Mapa</w:t>
            </w:r>
          </w:p>
        </w:tc>
        <w:tc>
          <w:tcPr>
            <w:tcW w:w="3240" w:type="dxa"/>
            <w:tcBorders/>
            <w:shd w:fill="FFFFFF" w:val="clear"/>
            <w:vAlign w:val="center"/>
          </w:tcPr>
          <w:p>
            <w:pPr>
              <w:pStyle w:val="Normal"/>
              <w:spacing w:lineRule="auto" w:line="240" w:before="20" w:after="20"/>
              <w:rPr/>
            </w:pPr>
            <w:r>
              <w:rPr>
                <w:b w:val="false"/>
                <w:color w:val="243444"/>
                <w:sz w:val="18"/>
              </w:rPr>
              <w:t>Leaflet</w:t>
            </w:r>
          </w:p>
        </w:tc>
        <w:tc>
          <w:tcPr>
            <w:tcW w:w="5546" w:type="dxa"/>
            <w:tcBorders/>
            <w:shd w:fill="FFFFFF" w:val="clear"/>
            <w:vAlign w:val="center"/>
          </w:tcPr>
          <w:p>
            <w:pPr>
              <w:pStyle w:val="Normal"/>
              <w:spacing w:lineRule="auto" w:line="240" w:before="20" w:after="20"/>
              <w:rPr/>
            </w:pPr>
            <w:r>
              <w:rPr>
                <w:b w:val="false"/>
                <w:color w:val="243444"/>
                <w:sz w:val="18"/>
              </w:rPr>
              <w:t>Puntos registrados y ubicación del navegador con permiso.</w:t>
            </w:r>
          </w:p>
        </w:tc>
      </w:tr>
      <w:tr>
        <w:trPr>
          <w:cantSplit/>
        </w:trPr>
        <w:tc>
          <w:tcPr>
            <w:tcW w:w="1438" w:type="dxa"/>
            <w:tcBorders/>
            <w:shd w:fill="F0F4F8" w:val="clear"/>
            <w:vAlign w:val="center"/>
          </w:tcPr>
          <w:p>
            <w:pPr>
              <w:pStyle w:val="Normal"/>
              <w:spacing w:lineRule="auto" w:line="240" w:before="20" w:after="20"/>
              <w:rPr/>
            </w:pPr>
            <w:r>
              <w:rPr>
                <w:b w:val="false"/>
                <w:color w:val="243444"/>
                <w:sz w:val="18"/>
              </w:rPr>
              <w:t>API</w:t>
            </w:r>
          </w:p>
        </w:tc>
        <w:tc>
          <w:tcPr>
            <w:tcW w:w="3240" w:type="dxa"/>
            <w:tcBorders/>
            <w:shd w:fill="F0F4F8" w:val="clear"/>
            <w:vAlign w:val="center"/>
          </w:tcPr>
          <w:p>
            <w:pPr>
              <w:pStyle w:val="Normal"/>
              <w:spacing w:lineRule="auto" w:line="240" w:before="20" w:after="20"/>
              <w:rPr/>
            </w:pPr>
            <w:r>
              <w:rPr>
                <w:b w:val="false"/>
                <w:color w:val="243444"/>
                <w:sz w:val="18"/>
              </w:rPr>
              <w:t>Rust, Axum, Tokio</w:t>
            </w:r>
          </w:p>
        </w:tc>
        <w:tc>
          <w:tcPr>
            <w:tcW w:w="5546" w:type="dxa"/>
            <w:tcBorders/>
            <w:shd w:fill="F0F4F8" w:val="clear"/>
            <w:vAlign w:val="center"/>
          </w:tcPr>
          <w:p>
            <w:pPr>
              <w:pStyle w:val="Normal"/>
              <w:spacing w:lineRule="auto" w:line="240" w:before="20" w:after="20"/>
              <w:rPr/>
            </w:pPr>
            <w:r>
              <w:rPr>
                <w:b w:val="false"/>
                <w:color w:val="243444"/>
                <w:sz w:val="18"/>
              </w:rPr>
              <w:t>Rutas HTTP, autorización y procesamiento asíncrono.</w:t>
            </w:r>
          </w:p>
        </w:tc>
      </w:tr>
      <w:tr>
        <w:trPr>
          <w:cantSplit/>
        </w:trPr>
        <w:tc>
          <w:tcPr>
            <w:tcW w:w="1438" w:type="dxa"/>
            <w:tcBorders/>
            <w:shd w:fill="FFFFFF" w:val="clear"/>
            <w:vAlign w:val="center"/>
          </w:tcPr>
          <w:p>
            <w:pPr>
              <w:pStyle w:val="Normal"/>
              <w:spacing w:lineRule="auto" w:line="240" w:before="20" w:after="20"/>
              <w:rPr/>
            </w:pPr>
            <w:r>
              <w:rPr>
                <w:b w:val="false"/>
                <w:color w:val="243444"/>
                <w:sz w:val="18"/>
              </w:rPr>
              <w:t>Persistencia</w:t>
            </w:r>
          </w:p>
        </w:tc>
        <w:tc>
          <w:tcPr>
            <w:tcW w:w="3240" w:type="dxa"/>
            <w:tcBorders/>
            <w:shd w:fill="FFFFFF" w:val="clear"/>
            <w:vAlign w:val="center"/>
          </w:tcPr>
          <w:p>
            <w:pPr>
              <w:pStyle w:val="Normal"/>
              <w:spacing w:lineRule="auto" w:line="240" w:before="20" w:after="20"/>
              <w:rPr/>
            </w:pPr>
            <w:r>
              <w:rPr>
                <w:b w:val="false"/>
                <w:color w:val="243444"/>
                <w:sz w:val="18"/>
              </w:rPr>
              <w:t>PostgreSQL, SQLx</w:t>
            </w:r>
          </w:p>
        </w:tc>
        <w:tc>
          <w:tcPr>
            <w:tcW w:w="5546" w:type="dxa"/>
            <w:tcBorders/>
            <w:shd w:fill="FFFFFF" w:val="clear"/>
            <w:vAlign w:val="center"/>
          </w:tcPr>
          <w:p>
            <w:pPr>
              <w:pStyle w:val="Normal"/>
              <w:spacing w:lineRule="auto" w:line="240" w:before="20" w:after="20"/>
              <w:rPr/>
            </w:pPr>
            <w:r>
              <w:rPr>
                <w:b w:val="false"/>
                <w:color w:val="243444"/>
                <w:sz w:val="18"/>
              </w:rPr>
              <w:t>Consultas parametrizadas, transacciones y bitácora.</w:t>
            </w:r>
          </w:p>
        </w:tc>
      </w:tr>
      <w:tr>
        <w:trPr>
          <w:cantSplit/>
        </w:trPr>
        <w:tc>
          <w:tcPr>
            <w:tcW w:w="1438" w:type="dxa"/>
            <w:tcBorders/>
            <w:shd w:fill="F0F4F8" w:val="clear"/>
            <w:vAlign w:val="center"/>
          </w:tcPr>
          <w:p>
            <w:pPr>
              <w:pStyle w:val="Normal"/>
              <w:spacing w:lineRule="auto" w:line="240" w:before="20" w:after="20"/>
              <w:rPr/>
            </w:pPr>
            <w:r>
              <w:rPr>
                <w:b w:val="false"/>
                <w:color w:val="243444"/>
                <w:sz w:val="18"/>
              </w:rPr>
              <w:t>Identidad</w:t>
            </w:r>
          </w:p>
        </w:tc>
        <w:tc>
          <w:tcPr>
            <w:tcW w:w="3240" w:type="dxa"/>
            <w:tcBorders/>
            <w:shd w:fill="F0F4F8" w:val="clear"/>
            <w:vAlign w:val="center"/>
          </w:tcPr>
          <w:p>
            <w:pPr>
              <w:pStyle w:val="Normal"/>
              <w:spacing w:lineRule="auto" w:line="240" w:before="20" w:after="20"/>
              <w:rPr/>
            </w:pPr>
            <w:r>
              <w:rPr>
                <w:b w:val="false"/>
                <w:color w:val="243444"/>
                <w:sz w:val="18"/>
              </w:rPr>
              <w:t>JWT, bcrypt</w:t>
            </w:r>
          </w:p>
        </w:tc>
        <w:tc>
          <w:tcPr>
            <w:tcW w:w="5546" w:type="dxa"/>
            <w:tcBorders/>
            <w:shd w:fill="F0F4F8" w:val="clear"/>
            <w:vAlign w:val="center"/>
          </w:tcPr>
          <w:p>
            <w:pPr>
              <w:pStyle w:val="Normal"/>
              <w:spacing w:lineRule="auto" w:line="240" w:before="20" w:after="20"/>
              <w:rPr/>
            </w:pPr>
            <w:r>
              <w:rPr>
                <w:b w:val="false"/>
                <w:color w:val="243444"/>
                <w:sz w:val="18"/>
              </w:rPr>
              <w:t>Identidad firmada, expiración y hash de contraseñas.</w:t>
            </w:r>
          </w:p>
        </w:tc>
      </w:tr>
      <w:tr>
        <w:trPr>
          <w:cantSplit/>
        </w:trPr>
        <w:tc>
          <w:tcPr>
            <w:tcW w:w="1438" w:type="dxa"/>
            <w:tcBorders/>
            <w:shd w:fill="FFFFFF" w:val="clear"/>
            <w:vAlign w:val="center"/>
          </w:tcPr>
          <w:p>
            <w:pPr>
              <w:pStyle w:val="Normal"/>
              <w:spacing w:lineRule="auto" w:line="240" w:before="20" w:after="20"/>
              <w:rPr/>
            </w:pPr>
            <w:r>
              <w:rPr>
                <w:b w:val="false"/>
                <w:color w:val="243444"/>
                <w:sz w:val="18"/>
              </w:rPr>
              <w:t>Matching</w:t>
            </w:r>
          </w:p>
        </w:tc>
        <w:tc>
          <w:tcPr>
            <w:tcW w:w="3240" w:type="dxa"/>
            <w:tcBorders/>
            <w:shd w:fill="FFFFFF" w:val="clear"/>
            <w:vAlign w:val="center"/>
          </w:tcPr>
          <w:p>
            <w:pPr>
              <w:pStyle w:val="Normal"/>
              <w:spacing w:lineRule="auto" w:line="240" w:before="20" w:after="20"/>
              <w:rPr/>
            </w:pPr>
            <w:r>
              <w:rPr>
                <w:b w:val="false"/>
                <w:color w:val="243444"/>
                <w:sz w:val="18"/>
              </w:rPr>
              <w:t>ChromaDB v2 y scoring local</w:t>
            </w:r>
          </w:p>
        </w:tc>
        <w:tc>
          <w:tcPr>
            <w:tcW w:w="5546" w:type="dxa"/>
            <w:tcBorders/>
            <w:shd w:fill="FFFFFF" w:val="clear"/>
            <w:vAlign w:val="center"/>
          </w:tcPr>
          <w:p>
            <w:pPr>
              <w:pStyle w:val="Normal"/>
              <w:spacing w:lineRule="auto" w:line="240" w:before="20" w:after="20"/>
              <w:rPr/>
            </w:pPr>
            <w:r>
              <w:rPr>
                <w:b w:val="false"/>
                <w:color w:val="243444"/>
                <w:sz w:val="18"/>
              </w:rPr>
              <w:t>Índice vectorial derivado; fallback léxico.</w:t>
            </w:r>
          </w:p>
        </w:tc>
      </w:tr>
      <w:tr>
        <w:trPr>
          <w:cantSplit/>
        </w:trPr>
        <w:tc>
          <w:tcPr>
            <w:tcW w:w="1438" w:type="dxa"/>
            <w:tcBorders/>
            <w:shd w:fill="F0F4F8" w:val="clear"/>
            <w:vAlign w:val="center"/>
          </w:tcPr>
          <w:p>
            <w:pPr>
              <w:pStyle w:val="Normal"/>
              <w:spacing w:lineRule="auto" w:line="240" w:before="20" w:after="20"/>
              <w:rPr/>
            </w:pPr>
            <w:r>
              <w:rPr>
                <w:b w:val="false"/>
                <w:color w:val="243444"/>
                <w:sz w:val="18"/>
              </w:rPr>
              <w:t>Operación</w:t>
            </w:r>
          </w:p>
        </w:tc>
        <w:tc>
          <w:tcPr>
            <w:tcW w:w="3240" w:type="dxa"/>
            <w:tcBorders/>
            <w:shd w:fill="F0F4F8" w:val="clear"/>
            <w:vAlign w:val="center"/>
          </w:tcPr>
          <w:p>
            <w:pPr>
              <w:pStyle w:val="Normal"/>
              <w:spacing w:lineRule="auto" w:line="240" w:before="20" w:after="20"/>
              <w:rPr/>
            </w:pPr>
            <w:r>
              <w:rPr>
                <w:b w:val="false"/>
                <w:color w:val="243444"/>
                <w:sz w:val="18"/>
              </w:rPr>
              <w:t>Docker, Compose, GitHub Actions</w:t>
            </w:r>
          </w:p>
        </w:tc>
        <w:tc>
          <w:tcPr>
            <w:tcW w:w="5546" w:type="dxa"/>
            <w:tcBorders/>
            <w:shd w:fill="F0F4F8" w:val="clear"/>
            <w:vAlign w:val="center"/>
          </w:tcPr>
          <w:p>
            <w:pPr>
              <w:pStyle w:val="Normal"/>
              <w:spacing w:lineRule="auto" w:line="240" w:before="20" w:after="20"/>
              <w:rPr/>
            </w:pPr>
            <w:r>
              <w:rPr>
                <w:b w:val="false"/>
                <w:color w:val="243444"/>
                <w:sz w:val="18"/>
              </w:rPr>
              <w:t>Ambientes reproducibles y despliegue de prueba.</w:t>
            </w:r>
          </w:p>
        </w:tc>
      </w:tr>
    </w:tbl>
    <w:p>
      <w:pPr>
        <w:pStyle w:val="Normal"/>
        <w:spacing w:lineRule="auto" w:line="240" w:before="0" w:after="20"/>
        <w:rPr/>
      </w:pPr>
      <w:r>
        <w:rPr/>
        <w:t>Matching: PostgreSQL → indexación idempotente → ChromaDB → combinación léxica/vectorial. La colección se unificó y puede reconstruirse desde PostgreSQL. Si Chroma falla, se mantiene la alternativa léxica; Groq es enriquecimiento opcional, no una dependencia crítica del ciclo de donación. La semántica de los vectores locales y las variables geográficas conserva límites que se abordan en el plan [1, 8].</w:t>
      </w:r>
      <w:r>
        <w:br w:type="page"/>
      </w:r>
    </w:p>
    <w:p>
      <w:pPr>
        <w:pStyle w:val="Heading1"/>
        <w:spacing w:before="0" w:after="100"/>
        <w:rPr/>
      </w:pPr>
      <w:r>
        <w:rPr/>
        <w:t>2. Implementación del módulo y seguridad</w:t>
      </w:r>
    </w:p>
    <w:p>
      <w:pPr>
        <w:pStyle w:val="Heading2"/>
        <w:rPr/>
      </w:pPr>
      <w:r>
        <w:rPr/>
        <w:t>2.1 Arquitectura tecnológica</w:t>
      </w:r>
    </w:p>
    <w:p>
      <w:pPr>
        <w:pStyle w:val="Normal"/>
        <w:rPr/>
      </w:pPr>
      <w:r>
        <w:rPr/>
        <w:t>El módulo implementa rutas de autenticación, donaciones, solicitudes, escáner y administración. La tabla 1 resume su separación técnica. Las migraciones y la metadata SQLx versionadas permiten reproducir el esquema y comprobar la compilación desde un checkout limpio; la interfaz no sustituye los controles de la API.</w:t>
      </w:r>
    </w:p>
    <w:p>
      <w:pPr>
        <w:pStyle w:val="Heading2"/>
        <w:rPr/>
      </w:pPr>
      <w:r>
        <w:rPr/>
        <w:t>2.2 Autenticación JWT</w:t>
      </w:r>
    </w:p>
    <w:p>
      <w:pPr>
        <w:pStyle w:val="Normal"/>
        <w:rPr/>
      </w:pPr>
      <w:r>
        <w:rPr/>
        <w:t>El registro y el login emiten tokens firmados con identificador, rol y expiración de 24 horas. El middleware valida el encabezado Bearer, la firma y la vigencia antes de entregar los claims a las rutas. Las contraseñas se almacenan mediante bcrypt. Las rutas endurecidas responden con errores sanitizados ante fallos internos; ello reduce exposición de detalles sin implicar seguridad absoluta [2, 10].</w:t>
      </w:r>
    </w:p>
    <w:p>
      <w:pPr>
        <w:pStyle w:val="Heading2"/>
        <w:rPr/>
      </w:pPr>
      <w:r>
        <w:rPr/>
        <w:t>2.3 Roles y autorización</w:t>
      </w:r>
    </w:p>
    <w:p>
      <w:pPr>
        <w:pStyle w:val="Normal"/>
        <w:keepNext w:val="true"/>
        <w:rPr/>
      </w:pPr>
      <w:r>
        <w:rPr>
          <w:sz w:val="18"/>
        </w:rPr>
        <w:t>Tabla 2. Roles y responsabilidades</w:t>
      </w:r>
    </w:p>
    <w:tbl>
      <w:tblPr>
        <w:tblW w:w="10224" w:type="dxa"/>
        <w:jc w:val="center"/>
        <w:tblInd w:w="0" w:type="dxa"/>
        <w:tblLayout w:type="fixed"/>
        <w:tblCellMar>
          <w:top w:w="35" w:type="dxa"/>
          <w:start w:w="55" w:type="dxa"/>
          <w:bottom w:w="35" w:type="dxa"/>
          <w:end w:w="55" w:type="dxa"/>
        </w:tblCellMar>
        <w:tblLook w:noHBand="0" w:noVBand="1" w:firstColumn="1" w:lastRow="0" w:lastColumn="0" w:firstRow="1" w:val="04a0"/>
      </w:tblPr>
      <w:tblGrid>
        <w:gridCol w:w="1438"/>
        <w:gridCol w:w="8786"/>
      </w:tblGrid>
      <w:tr>
        <w:trPr>
          <w:tblHeader w:val="true"/>
          <w:cantSplit/>
        </w:trPr>
        <w:tc>
          <w:tcPr>
            <w:tcW w:w="1438" w:type="dxa"/>
            <w:tcBorders/>
            <w:shd w:fill="19385F" w:val="clear"/>
            <w:vAlign w:val="center"/>
          </w:tcPr>
          <w:p>
            <w:pPr>
              <w:pStyle w:val="Normal"/>
              <w:spacing w:lineRule="auto" w:line="240" w:before="20" w:after="20"/>
              <w:rPr/>
            </w:pPr>
            <w:r>
              <w:rPr>
                <w:b/>
                <w:color w:val="FFFFFF"/>
                <w:sz w:val="18"/>
              </w:rPr>
              <w:t>Rol</w:t>
            </w:r>
          </w:p>
        </w:tc>
        <w:tc>
          <w:tcPr>
            <w:tcW w:w="8786" w:type="dxa"/>
            <w:tcBorders/>
            <w:shd w:fill="19385F" w:val="clear"/>
            <w:vAlign w:val="center"/>
          </w:tcPr>
          <w:p>
            <w:pPr>
              <w:pStyle w:val="Normal"/>
              <w:spacing w:lineRule="auto" w:line="240" w:before="20" w:after="20"/>
              <w:rPr/>
            </w:pPr>
            <w:r>
              <w:rPr>
                <w:b/>
                <w:color w:val="FFFFFF"/>
                <w:sz w:val="18"/>
              </w:rPr>
              <w:t>Responsabilidades</w:t>
            </w:r>
          </w:p>
        </w:tc>
      </w:tr>
      <w:tr>
        <w:trPr>
          <w:cantSplit/>
        </w:trPr>
        <w:tc>
          <w:tcPr>
            <w:tcW w:w="1438" w:type="dxa"/>
            <w:tcBorders/>
            <w:shd w:fill="F0F4F8" w:val="clear"/>
            <w:vAlign w:val="center"/>
          </w:tcPr>
          <w:p>
            <w:pPr>
              <w:pStyle w:val="Normal"/>
              <w:spacing w:lineRule="auto" w:line="240" w:before="20" w:after="20"/>
              <w:rPr/>
            </w:pPr>
            <w:r>
              <w:rPr>
                <w:b w:val="false"/>
                <w:color w:val="243444"/>
                <w:sz w:val="18"/>
              </w:rPr>
              <w:t>Admin</w:t>
            </w:r>
          </w:p>
        </w:tc>
        <w:tc>
          <w:tcPr>
            <w:tcW w:w="8786" w:type="dxa"/>
            <w:tcBorders/>
            <w:shd w:fill="F0F4F8" w:val="clear"/>
            <w:vAlign w:val="center"/>
          </w:tcPr>
          <w:p>
            <w:pPr>
              <w:pStyle w:val="Normal"/>
              <w:spacing w:lineRule="auto" w:line="240" w:before="20" w:after="20"/>
              <w:rPr/>
            </w:pPr>
            <w:r>
              <w:rPr>
                <w:b w:val="false"/>
                <w:color w:val="243444"/>
                <w:sz w:val="18"/>
              </w:rPr>
              <w:t>Listar, verificar y revocar ONG; acceso administrativo y seed protegido.</w:t>
            </w:r>
          </w:p>
        </w:tc>
      </w:tr>
      <w:tr>
        <w:trPr>
          <w:cantSplit/>
        </w:trPr>
        <w:tc>
          <w:tcPr>
            <w:tcW w:w="1438" w:type="dxa"/>
            <w:tcBorders/>
            <w:shd w:fill="FFFFFF" w:val="clear"/>
            <w:vAlign w:val="center"/>
          </w:tcPr>
          <w:p>
            <w:pPr>
              <w:pStyle w:val="Normal"/>
              <w:spacing w:lineRule="auto" w:line="240" w:before="20" w:after="20"/>
              <w:rPr/>
            </w:pPr>
            <w:r>
              <w:rPr>
                <w:b w:val="false"/>
                <w:color w:val="243444"/>
                <w:sz w:val="18"/>
              </w:rPr>
              <w:t>Empresa</w:t>
            </w:r>
          </w:p>
        </w:tc>
        <w:tc>
          <w:tcPr>
            <w:tcW w:w="8786" w:type="dxa"/>
            <w:tcBorders/>
            <w:shd w:fill="FFFFFF" w:val="clear"/>
            <w:vAlign w:val="center"/>
          </w:tcPr>
          <w:p>
            <w:pPr>
              <w:pStyle w:val="Normal"/>
              <w:spacing w:lineRule="auto" w:line="240" w:before="20" w:after="20"/>
              <w:rPr/>
            </w:pPr>
            <w:r>
              <w:rPr>
                <w:b w:val="false"/>
                <w:color w:val="243444"/>
                <w:sz w:val="18"/>
              </w:rPr>
              <w:t>Publicar donaciones propias, aprobar solicitudes y registrar salida.</w:t>
            </w:r>
          </w:p>
        </w:tc>
      </w:tr>
      <w:tr>
        <w:trPr>
          <w:cantSplit/>
        </w:trPr>
        <w:tc>
          <w:tcPr>
            <w:tcW w:w="1438" w:type="dxa"/>
            <w:tcBorders/>
            <w:shd w:fill="F0F4F8" w:val="clear"/>
            <w:vAlign w:val="center"/>
          </w:tcPr>
          <w:p>
            <w:pPr>
              <w:pStyle w:val="Normal"/>
              <w:spacing w:lineRule="auto" w:line="240" w:before="20" w:after="20"/>
              <w:rPr/>
            </w:pPr>
            <w:r>
              <w:rPr>
                <w:b w:val="false"/>
                <w:color w:val="243444"/>
                <w:sz w:val="18"/>
              </w:rPr>
              <w:t>ONG</w:t>
            </w:r>
          </w:p>
        </w:tc>
        <w:tc>
          <w:tcPr>
            <w:tcW w:w="8786" w:type="dxa"/>
            <w:tcBorders/>
            <w:shd w:fill="F0F4F8" w:val="clear"/>
            <w:vAlign w:val="center"/>
          </w:tcPr>
          <w:p>
            <w:pPr>
              <w:pStyle w:val="Normal"/>
              <w:spacing w:lineRule="auto" w:line="240" w:before="20" w:after="20"/>
              <w:rPr/>
            </w:pPr>
            <w:r>
              <w:rPr>
                <w:b w:val="false"/>
                <w:color w:val="243444"/>
                <w:sz w:val="18"/>
              </w:rPr>
              <w:t>Solicitar si está verificada; recibir o rechazar la donación asignada.</w:t>
            </w:r>
          </w:p>
        </w:tc>
      </w:tr>
      <w:tr>
        <w:trPr>
          <w:cantSplit/>
        </w:trPr>
        <w:tc>
          <w:tcPr>
            <w:tcW w:w="1438" w:type="dxa"/>
            <w:tcBorders/>
            <w:shd w:fill="FFFFFF" w:val="clear"/>
            <w:vAlign w:val="center"/>
          </w:tcPr>
          <w:p>
            <w:pPr>
              <w:pStyle w:val="Normal"/>
              <w:spacing w:lineRule="auto" w:line="240" w:before="20" w:after="20"/>
              <w:rPr/>
            </w:pPr>
            <w:r>
              <w:rPr>
                <w:b w:val="false"/>
                <w:color w:val="243444"/>
                <w:sz w:val="18"/>
              </w:rPr>
              <w:t>CEO</w:t>
            </w:r>
          </w:p>
        </w:tc>
        <w:tc>
          <w:tcPr>
            <w:tcW w:w="8786" w:type="dxa"/>
            <w:tcBorders/>
            <w:shd w:fill="FFFFFF" w:val="clear"/>
            <w:vAlign w:val="center"/>
          </w:tcPr>
          <w:p>
            <w:pPr>
              <w:pStyle w:val="Normal"/>
              <w:spacing w:lineRule="auto" w:line="240" w:before="20" w:after="20"/>
              <w:rPr/>
            </w:pPr>
            <w:r>
              <w:rPr>
                <w:b w:val="false"/>
                <w:color w:val="243444"/>
                <w:sz w:val="18"/>
              </w:rPr>
              <w:t>Consultar indicadores de impacto, identificados como estimaciones cuando corresponde.</w:t>
            </w:r>
          </w:p>
        </w:tc>
      </w:tr>
    </w:tbl>
    <w:p>
      <w:pPr>
        <w:pStyle w:val="Normal"/>
        <w:rPr/>
      </w:pPr>
      <w:r>
        <w:rPr/>
        <w:t>El registro público admite únicamente Empresa y ONG; no crea Admin ni CEO. El primer Admin se provisiona mediante un CLI controlado, con validaciones y pruebas. RBAC limita funciones y ownership restringe cada operación al propietario o destinatario autorizado. La verificación de ONG se exige en backend, no solo mediante botones visibles.</w:t>
      </w:r>
    </w:p>
    <w:p>
      <w:pPr>
        <w:pStyle w:val="Heading2"/>
        <w:rPr/>
      </w:pPr>
      <w:r>
        <w:rPr/>
        <w:t>2.4 Flujo funcional de donaciones</w:t>
      </w:r>
    </w:p>
    <w:p>
      <w:pPr>
        <w:pStyle w:val="Normal"/>
        <w:keepNext w:val="true"/>
        <w:rPr/>
      </w:pPr>
      <w:r>
        <w:rPr>
          <w:sz w:val="18"/>
        </w:rPr>
        <w:t>Tabla 3. Lifecycle y responsabilidad de transición</w:t>
      </w:r>
    </w:p>
    <w:tbl>
      <w:tblPr>
        <w:tblW w:w="10224" w:type="dxa"/>
        <w:jc w:val="center"/>
        <w:tblInd w:w="0" w:type="dxa"/>
        <w:tblLayout w:type="fixed"/>
        <w:tblCellMar>
          <w:top w:w="35" w:type="dxa"/>
          <w:start w:w="55" w:type="dxa"/>
          <w:bottom w:w="35" w:type="dxa"/>
          <w:end w:w="55" w:type="dxa"/>
        </w:tblCellMar>
        <w:tblLook w:noHBand="0" w:noVBand="1" w:firstColumn="1" w:lastRow="0" w:lastColumn="0" w:firstRow="1" w:val="04a0"/>
      </w:tblPr>
      <w:tblGrid>
        <w:gridCol w:w="2304"/>
        <w:gridCol w:w="2374"/>
        <w:gridCol w:w="2234"/>
        <w:gridCol w:w="3312"/>
      </w:tblGrid>
      <w:tr>
        <w:trPr>
          <w:tblHeader w:val="true"/>
          <w:cantSplit/>
        </w:trPr>
        <w:tc>
          <w:tcPr>
            <w:tcW w:w="2304" w:type="dxa"/>
            <w:tcBorders/>
            <w:shd w:fill="19385F" w:val="clear"/>
            <w:vAlign w:val="center"/>
          </w:tcPr>
          <w:p>
            <w:pPr>
              <w:pStyle w:val="Normal"/>
              <w:spacing w:lineRule="auto" w:line="240" w:before="20" w:after="20"/>
              <w:rPr/>
            </w:pPr>
            <w:r>
              <w:rPr>
                <w:b/>
                <w:color w:val="FFFFFF"/>
                <w:sz w:val="18"/>
              </w:rPr>
              <w:t>Estado</w:t>
            </w:r>
          </w:p>
        </w:tc>
        <w:tc>
          <w:tcPr>
            <w:tcW w:w="2374" w:type="dxa"/>
            <w:tcBorders/>
            <w:shd w:fill="19385F" w:val="clear"/>
            <w:vAlign w:val="center"/>
          </w:tcPr>
          <w:p>
            <w:pPr>
              <w:pStyle w:val="Normal"/>
              <w:spacing w:lineRule="auto" w:line="240" w:before="20" w:after="20"/>
              <w:rPr/>
            </w:pPr>
            <w:r>
              <w:rPr>
                <w:b/>
                <w:color w:val="FFFFFF"/>
                <w:sz w:val="18"/>
              </w:rPr>
              <w:t>Acción</w:t>
            </w:r>
          </w:p>
        </w:tc>
        <w:tc>
          <w:tcPr>
            <w:tcW w:w="2234" w:type="dxa"/>
            <w:tcBorders/>
            <w:shd w:fill="19385F" w:val="clear"/>
            <w:vAlign w:val="center"/>
          </w:tcPr>
          <w:p>
            <w:pPr>
              <w:pStyle w:val="Normal"/>
              <w:spacing w:lineRule="auto" w:line="240" w:before="20" w:after="20"/>
              <w:rPr/>
            </w:pPr>
            <w:r>
              <w:rPr>
                <w:b/>
                <w:color w:val="FFFFFF"/>
                <w:sz w:val="18"/>
              </w:rPr>
              <w:t>Actor</w:t>
            </w:r>
          </w:p>
        </w:tc>
        <w:tc>
          <w:tcPr>
            <w:tcW w:w="3312" w:type="dxa"/>
            <w:tcBorders/>
            <w:shd w:fill="19385F" w:val="clear"/>
            <w:vAlign w:val="center"/>
          </w:tcPr>
          <w:p>
            <w:pPr>
              <w:pStyle w:val="Normal"/>
              <w:spacing w:lineRule="auto" w:line="240" w:before="20" w:after="20"/>
              <w:rPr/>
            </w:pPr>
            <w:r>
              <w:rPr>
                <w:b/>
                <w:color w:val="FFFFFF"/>
                <w:sz w:val="18"/>
              </w:rPr>
              <w:t>Estado siguiente</w:t>
            </w:r>
          </w:p>
        </w:tc>
      </w:tr>
      <w:tr>
        <w:trPr>
          <w:cantSplit/>
        </w:trPr>
        <w:tc>
          <w:tcPr>
            <w:tcW w:w="2304" w:type="dxa"/>
            <w:tcBorders/>
            <w:shd w:fill="F0F4F8" w:val="clear"/>
            <w:vAlign w:val="center"/>
          </w:tcPr>
          <w:p>
            <w:pPr>
              <w:pStyle w:val="Normal"/>
              <w:spacing w:lineRule="auto" w:line="240" w:before="20" w:after="20"/>
              <w:rPr/>
            </w:pPr>
            <w:r>
              <w:rPr>
                <w:b w:val="false"/>
                <w:color w:val="243444"/>
                <w:sz w:val="18"/>
              </w:rPr>
              <w:t>Sin donación</w:t>
            </w:r>
          </w:p>
        </w:tc>
        <w:tc>
          <w:tcPr>
            <w:tcW w:w="2374" w:type="dxa"/>
            <w:tcBorders/>
            <w:shd w:fill="F0F4F8" w:val="clear"/>
            <w:vAlign w:val="center"/>
          </w:tcPr>
          <w:p>
            <w:pPr>
              <w:pStyle w:val="Normal"/>
              <w:spacing w:lineRule="auto" w:line="240" w:before="20" w:after="20"/>
              <w:rPr/>
            </w:pPr>
            <w:r>
              <w:rPr>
                <w:b w:val="false"/>
                <w:color w:val="243444"/>
                <w:sz w:val="18"/>
              </w:rPr>
              <w:t>Publicar</w:t>
            </w:r>
          </w:p>
        </w:tc>
        <w:tc>
          <w:tcPr>
            <w:tcW w:w="2234" w:type="dxa"/>
            <w:tcBorders/>
            <w:shd w:fill="F0F4F8" w:val="clear"/>
            <w:vAlign w:val="center"/>
          </w:tcPr>
          <w:p>
            <w:pPr>
              <w:pStyle w:val="Normal"/>
              <w:spacing w:lineRule="auto" w:line="240" w:before="20" w:after="20"/>
              <w:rPr/>
            </w:pPr>
            <w:r>
              <w:rPr>
                <w:b w:val="false"/>
                <w:color w:val="243444"/>
                <w:sz w:val="18"/>
              </w:rPr>
              <w:t>Empresa</w:t>
            </w:r>
          </w:p>
        </w:tc>
        <w:tc>
          <w:tcPr>
            <w:tcW w:w="3312" w:type="dxa"/>
            <w:tcBorders/>
            <w:shd w:fill="F0F4F8" w:val="clear"/>
            <w:vAlign w:val="center"/>
          </w:tcPr>
          <w:p>
            <w:pPr>
              <w:pStyle w:val="Normal"/>
              <w:spacing w:lineRule="auto" w:line="240" w:before="20" w:after="20"/>
              <w:rPr/>
            </w:pPr>
            <w:r>
              <w:rPr>
                <w:b w:val="false"/>
                <w:color w:val="243444"/>
                <w:sz w:val="18"/>
              </w:rPr>
              <w:t>en_acopio</w:t>
            </w:r>
          </w:p>
        </w:tc>
      </w:tr>
      <w:tr>
        <w:trPr>
          <w:cantSplit/>
        </w:trPr>
        <w:tc>
          <w:tcPr>
            <w:tcW w:w="2304" w:type="dxa"/>
            <w:tcBorders/>
            <w:shd w:fill="FFFFFF" w:val="clear"/>
            <w:vAlign w:val="center"/>
          </w:tcPr>
          <w:p>
            <w:pPr>
              <w:pStyle w:val="Normal"/>
              <w:spacing w:lineRule="auto" w:line="240" w:before="20" w:after="20"/>
              <w:rPr/>
            </w:pPr>
            <w:r>
              <w:rPr>
                <w:b w:val="false"/>
                <w:color w:val="243444"/>
                <w:sz w:val="18"/>
              </w:rPr>
              <w:t>en_acopio</w:t>
            </w:r>
          </w:p>
        </w:tc>
        <w:tc>
          <w:tcPr>
            <w:tcW w:w="2374" w:type="dxa"/>
            <w:tcBorders/>
            <w:shd w:fill="FFFFFF" w:val="clear"/>
            <w:vAlign w:val="center"/>
          </w:tcPr>
          <w:p>
            <w:pPr>
              <w:pStyle w:val="Normal"/>
              <w:spacing w:lineRule="auto" w:line="240" w:before="20" w:after="20"/>
              <w:rPr/>
            </w:pPr>
            <w:r>
              <w:rPr>
                <w:b w:val="false"/>
                <w:color w:val="243444"/>
                <w:sz w:val="18"/>
              </w:rPr>
              <w:t>Solicitar</w:t>
            </w:r>
          </w:p>
        </w:tc>
        <w:tc>
          <w:tcPr>
            <w:tcW w:w="2234" w:type="dxa"/>
            <w:tcBorders/>
            <w:shd w:fill="FFFFFF" w:val="clear"/>
            <w:vAlign w:val="center"/>
          </w:tcPr>
          <w:p>
            <w:pPr>
              <w:pStyle w:val="Normal"/>
              <w:spacing w:lineRule="auto" w:line="240" w:before="20" w:after="20"/>
              <w:rPr/>
            </w:pPr>
            <w:r>
              <w:rPr>
                <w:b w:val="false"/>
                <w:color w:val="243444"/>
                <w:sz w:val="18"/>
              </w:rPr>
              <w:t>ONG verificada</w:t>
            </w:r>
          </w:p>
        </w:tc>
        <w:tc>
          <w:tcPr>
            <w:tcW w:w="3312" w:type="dxa"/>
            <w:tcBorders/>
            <w:shd w:fill="FFFFFF" w:val="clear"/>
            <w:vAlign w:val="center"/>
          </w:tcPr>
          <w:p>
            <w:pPr>
              <w:pStyle w:val="Normal"/>
              <w:spacing w:lineRule="auto" w:line="240" w:before="20" w:after="20"/>
              <w:rPr/>
            </w:pPr>
            <w:r>
              <w:rPr>
                <w:b w:val="false"/>
                <w:color w:val="243444"/>
                <w:sz w:val="18"/>
              </w:rPr>
              <w:t>reservado</w:t>
            </w:r>
          </w:p>
        </w:tc>
      </w:tr>
      <w:tr>
        <w:trPr>
          <w:cantSplit/>
        </w:trPr>
        <w:tc>
          <w:tcPr>
            <w:tcW w:w="2304" w:type="dxa"/>
            <w:tcBorders/>
            <w:shd w:fill="F0F4F8" w:val="clear"/>
            <w:vAlign w:val="center"/>
          </w:tcPr>
          <w:p>
            <w:pPr>
              <w:pStyle w:val="Normal"/>
              <w:spacing w:lineRule="auto" w:line="240" w:before="20" w:after="20"/>
              <w:rPr/>
            </w:pPr>
            <w:r>
              <w:rPr>
                <w:b w:val="false"/>
                <w:color w:val="243444"/>
                <w:sz w:val="18"/>
              </w:rPr>
              <w:t>reservado</w:t>
            </w:r>
          </w:p>
        </w:tc>
        <w:tc>
          <w:tcPr>
            <w:tcW w:w="2374" w:type="dxa"/>
            <w:tcBorders/>
            <w:shd w:fill="F0F4F8" w:val="clear"/>
            <w:vAlign w:val="center"/>
          </w:tcPr>
          <w:p>
            <w:pPr>
              <w:pStyle w:val="Normal"/>
              <w:spacing w:lineRule="auto" w:line="240" w:before="20" w:after="20"/>
              <w:rPr/>
            </w:pPr>
            <w:r>
              <w:rPr>
                <w:b w:val="false"/>
                <w:color w:val="243444"/>
                <w:sz w:val="18"/>
              </w:rPr>
              <w:t>Aprobar solicitud</w:t>
            </w:r>
          </w:p>
        </w:tc>
        <w:tc>
          <w:tcPr>
            <w:tcW w:w="2234" w:type="dxa"/>
            <w:tcBorders/>
            <w:shd w:fill="F0F4F8" w:val="clear"/>
            <w:vAlign w:val="center"/>
          </w:tcPr>
          <w:p>
            <w:pPr>
              <w:pStyle w:val="Normal"/>
              <w:spacing w:lineRule="auto" w:line="240" w:before="20" w:after="20"/>
              <w:rPr/>
            </w:pPr>
            <w:r>
              <w:rPr>
                <w:b w:val="false"/>
                <w:color w:val="243444"/>
                <w:sz w:val="18"/>
              </w:rPr>
              <w:t>Empresa propietaria</w:t>
            </w:r>
          </w:p>
        </w:tc>
        <w:tc>
          <w:tcPr>
            <w:tcW w:w="3312" w:type="dxa"/>
            <w:tcBorders/>
            <w:shd w:fill="F0F4F8" w:val="clear"/>
            <w:vAlign w:val="center"/>
          </w:tcPr>
          <w:p>
            <w:pPr>
              <w:pStyle w:val="Normal"/>
              <w:spacing w:lineRule="auto" w:line="240" w:before="20" w:after="20"/>
              <w:rPr/>
            </w:pPr>
            <w:r>
              <w:rPr>
                <w:b w:val="false"/>
                <w:color w:val="243444"/>
                <w:sz w:val="18"/>
              </w:rPr>
              <w:t>reservado; solicitud aprobada</w:t>
            </w:r>
          </w:p>
        </w:tc>
      </w:tr>
      <w:tr>
        <w:trPr>
          <w:cantSplit/>
        </w:trPr>
        <w:tc>
          <w:tcPr>
            <w:tcW w:w="2304" w:type="dxa"/>
            <w:tcBorders/>
            <w:shd w:fill="FFFFFF" w:val="clear"/>
            <w:vAlign w:val="center"/>
          </w:tcPr>
          <w:p>
            <w:pPr>
              <w:pStyle w:val="Normal"/>
              <w:spacing w:lineRule="auto" w:line="240" w:before="20" w:after="20"/>
              <w:rPr/>
            </w:pPr>
            <w:r>
              <w:rPr>
                <w:b w:val="false"/>
                <w:color w:val="243444"/>
                <w:sz w:val="18"/>
              </w:rPr>
              <w:t>reservado + aprobada</w:t>
            </w:r>
          </w:p>
        </w:tc>
        <w:tc>
          <w:tcPr>
            <w:tcW w:w="2374" w:type="dxa"/>
            <w:tcBorders/>
            <w:shd w:fill="FFFFFF" w:val="clear"/>
            <w:vAlign w:val="center"/>
          </w:tcPr>
          <w:p>
            <w:pPr>
              <w:pStyle w:val="Normal"/>
              <w:spacing w:lineRule="auto" w:line="240" w:before="20" w:after="20"/>
              <w:rPr/>
            </w:pPr>
            <w:r>
              <w:rPr>
                <w:b w:val="false"/>
                <w:color w:val="243444"/>
                <w:sz w:val="18"/>
              </w:rPr>
              <w:t>Registrar salida</w:t>
            </w:r>
          </w:p>
        </w:tc>
        <w:tc>
          <w:tcPr>
            <w:tcW w:w="2234" w:type="dxa"/>
            <w:tcBorders/>
            <w:shd w:fill="FFFFFF" w:val="clear"/>
            <w:vAlign w:val="center"/>
          </w:tcPr>
          <w:p>
            <w:pPr>
              <w:pStyle w:val="Normal"/>
              <w:spacing w:lineRule="auto" w:line="240" w:before="20" w:after="20"/>
              <w:rPr/>
            </w:pPr>
            <w:r>
              <w:rPr>
                <w:b w:val="false"/>
                <w:color w:val="243444"/>
                <w:sz w:val="18"/>
              </w:rPr>
              <w:t>Empresa propietaria</w:t>
            </w:r>
          </w:p>
        </w:tc>
        <w:tc>
          <w:tcPr>
            <w:tcW w:w="3312" w:type="dxa"/>
            <w:tcBorders/>
            <w:shd w:fill="FFFFFF" w:val="clear"/>
            <w:vAlign w:val="center"/>
          </w:tcPr>
          <w:p>
            <w:pPr>
              <w:pStyle w:val="Normal"/>
              <w:spacing w:lineRule="auto" w:line="240" w:before="20" w:after="20"/>
              <w:rPr/>
            </w:pPr>
            <w:r>
              <w:rPr>
                <w:b w:val="false"/>
                <w:color w:val="243444"/>
                <w:sz w:val="18"/>
              </w:rPr>
              <w:t>en_transito</w:t>
            </w:r>
          </w:p>
        </w:tc>
      </w:tr>
      <w:tr>
        <w:trPr>
          <w:cantSplit/>
        </w:trPr>
        <w:tc>
          <w:tcPr>
            <w:tcW w:w="2304" w:type="dxa"/>
            <w:tcBorders/>
            <w:shd w:fill="F0F4F8" w:val="clear"/>
            <w:vAlign w:val="center"/>
          </w:tcPr>
          <w:p>
            <w:pPr>
              <w:pStyle w:val="Normal"/>
              <w:spacing w:lineRule="auto" w:line="240" w:before="20" w:after="20"/>
              <w:rPr/>
            </w:pPr>
            <w:r>
              <w:rPr>
                <w:b w:val="false"/>
                <w:color w:val="243444"/>
                <w:sz w:val="18"/>
              </w:rPr>
              <w:t>en_transito</w:t>
            </w:r>
          </w:p>
        </w:tc>
        <w:tc>
          <w:tcPr>
            <w:tcW w:w="2374" w:type="dxa"/>
            <w:tcBorders/>
            <w:shd w:fill="F0F4F8" w:val="clear"/>
            <w:vAlign w:val="center"/>
          </w:tcPr>
          <w:p>
            <w:pPr>
              <w:pStyle w:val="Normal"/>
              <w:spacing w:lineRule="auto" w:line="240" w:before="20" w:after="20"/>
              <w:rPr/>
            </w:pPr>
            <w:r>
              <w:rPr>
                <w:b w:val="false"/>
                <w:color w:val="243444"/>
                <w:sz w:val="18"/>
              </w:rPr>
              <w:t>Confirmar recepción</w:t>
            </w:r>
          </w:p>
        </w:tc>
        <w:tc>
          <w:tcPr>
            <w:tcW w:w="2234" w:type="dxa"/>
            <w:tcBorders/>
            <w:shd w:fill="F0F4F8" w:val="clear"/>
            <w:vAlign w:val="center"/>
          </w:tcPr>
          <w:p>
            <w:pPr>
              <w:pStyle w:val="Normal"/>
              <w:spacing w:lineRule="auto" w:line="240" w:before="20" w:after="20"/>
              <w:rPr/>
            </w:pPr>
            <w:r>
              <w:rPr>
                <w:b w:val="false"/>
                <w:color w:val="243444"/>
                <w:sz w:val="18"/>
              </w:rPr>
              <w:t>ONG asignada</w:t>
            </w:r>
          </w:p>
        </w:tc>
        <w:tc>
          <w:tcPr>
            <w:tcW w:w="3312" w:type="dxa"/>
            <w:tcBorders/>
            <w:shd w:fill="F0F4F8" w:val="clear"/>
            <w:vAlign w:val="center"/>
          </w:tcPr>
          <w:p>
            <w:pPr>
              <w:pStyle w:val="Normal"/>
              <w:spacing w:lineRule="auto" w:line="240" w:before="20" w:after="20"/>
              <w:rPr/>
            </w:pPr>
            <w:r>
              <w:rPr>
                <w:b w:val="false"/>
                <w:color w:val="243444"/>
                <w:sz w:val="18"/>
              </w:rPr>
              <w:t>entregado</w:t>
            </w:r>
          </w:p>
        </w:tc>
      </w:tr>
      <w:tr>
        <w:trPr>
          <w:cantSplit/>
        </w:trPr>
        <w:tc>
          <w:tcPr>
            <w:tcW w:w="2304" w:type="dxa"/>
            <w:tcBorders/>
            <w:shd w:fill="FFFFFF" w:val="clear"/>
            <w:vAlign w:val="center"/>
          </w:tcPr>
          <w:p>
            <w:pPr>
              <w:pStyle w:val="Normal"/>
              <w:spacing w:lineRule="auto" w:line="240" w:before="20" w:after="20"/>
              <w:rPr/>
            </w:pPr>
            <w:r>
              <w:rPr>
                <w:b w:val="false"/>
                <w:color w:val="243444"/>
                <w:sz w:val="18"/>
              </w:rPr>
              <w:t>en_transito</w:t>
            </w:r>
          </w:p>
        </w:tc>
        <w:tc>
          <w:tcPr>
            <w:tcW w:w="2374" w:type="dxa"/>
            <w:tcBorders/>
            <w:shd w:fill="FFFFFF" w:val="clear"/>
            <w:vAlign w:val="center"/>
          </w:tcPr>
          <w:p>
            <w:pPr>
              <w:pStyle w:val="Normal"/>
              <w:spacing w:lineRule="auto" w:line="240" w:before="20" w:after="20"/>
              <w:rPr/>
            </w:pPr>
            <w:r>
              <w:rPr>
                <w:b w:val="false"/>
                <w:color w:val="243444"/>
                <w:sz w:val="18"/>
              </w:rPr>
              <w:t>Rechazar con motivo</w:t>
            </w:r>
          </w:p>
        </w:tc>
        <w:tc>
          <w:tcPr>
            <w:tcW w:w="2234" w:type="dxa"/>
            <w:tcBorders/>
            <w:shd w:fill="FFFFFF" w:val="clear"/>
            <w:vAlign w:val="center"/>
          </w:tcPr>
          <w:p>
            <w:pPr>
              <w:pStyle w:val="Normal"/>
              <w:spacing w:lineRule="auto" w:line="240" w:before="20" w:after="20"/>
              <w:rPr/>
            </w:pPr>
            <w:r>
              <w:rPr>
                <w:b w:val="false"/>
                <w:color w:val="243444"/>
                <w:sz w:val="18"/>
              </w:rPr>
              <w:t>ONG asignada</w:t>
            </w:r>
          </w:p>
        </w:tc>
        <w:tc>
          <w:tcPr>
            <w:tcW w:w="3312" w:type="dxa"/>
            <w:tcBorders/>
            <w:shd w:fill="FFFFFF" w:val="clear"/>
            <w:vAlign w:val="center"/>
          </w:tcPr>
          <w:p>
            <w:pPr>
              <w:pStyle w:val="Normal"/>
              <w:spacing w:lineRule="auto" w:line="240" w:before="20" w:after="20"/>
              <w:rPr/>
            </w:pPr>
            <w:r>
              <w:rPr>
                <w:b w:val="false"/>
                <w:color w:val="243444"/>
                <w:sz w:val="18"/>
              </w:rPr>
              <w:t>rechazado</w:t>
            </w:r>
          </w:p>
        </w:tc>
      </w:tr>
    </w:tbl>
    <w:p>
      <w:pPr>
        <w:pStyle w:val="Normal"/>
        <w:rPr/>
      </w:pPr>
      <w:r>
        <w:rPr/>
        <w:t>La aprobación administrativa conserva la reserva; no registra movimiento físico. La salida es una operación posterior y explícita. El proceso comienza con la verificación de ONG por Admin y termina con un estado y su registro de trazabilidad.</w:t>
      </w:r>
    </w:p>
    <w:p>
      <w:pPr>
        <w:pStyle w:val="Heading2"/>
        <w:rPr/>
      </w:pPr>
      <w:r>
        <w:rPr/>
        <w:t>2.5 Persistencia y transacciones</w:t>
      </w:r>
    </w:p>
    <w:p>
      <w:pPr>
        <w:pStyle w:val="Normal"/>
        <w:rPr/>
      </w:pPr>
      <w:r>
        <w:rPr/>
        <w:t>SQLx parametriza las consultas. Las operaciones críticas usan transacciones y bloqueos de filas para evitar solicitudes o transiciones incompatibles en concurrencia. La escritura de delivery_logs acompaña el cambio de estado dentro de la transacción y su consulta respeta autorización. Las pruebas comprueban carreras y rollback; la bitácora no se presenta como una certificación criptográfica externa.</w:t>
      </w:r>
      <w:r>
        <w:br w:type="page"/>
      </w:r>
    </w:p>
    <w:p>
      <w:pPr>
        <w:pStyle w:val="Heading2"/>
        <w:spacing w:before="0" w:after="100"/>
        <w:rPr/>
      </w:pPr>
      <w:r>
        <w:rPr/>
        <w:t>2.6 Pruebas unitarias</w:t>
      </w:r>
    </w:p>
    <w:p>
      <w:pPr>
        <w:pStyle w:val="Normal"/>
        <w:rPr/>
      </w:pPr>
      <w:r>
        <w:rPr/>
        <w:t>La estrategia combina pruebas unitarias y de integración Rust con PostgreSQL/Chroma de prueba, tests Jest con jsdom y comprobaciones funcionales en navegador. Los 74 tests Rust documentados al cierre ACT-03 incluyen rutas, autorización, estados, bootstrap, matching y concurrencia. La UI final conserva los tests anteriores y alcanza 44 Jest tras añadir regresiones de mapa y administración [2, 5, 6].</w:t>
      </w:r>
    </w:p>
    <w:p>
      <w:pPr>
        <w:pStyle w:val="Normal"/>
        <w:rPr/>
      </w:pPr>
      <w:r>
        <w:rPr/>
        <w:t>Jest ejercita login, registro, envío de token, respuestas 401/403/409, permisos, etapas de envíos y rechazo con motivo. La prueba de popup verifica que contenido malicioso se represente como texto; las pruebas del mapa distinguen ubicación concedida, denegada y no disponible. Las simulaciones de API y Leaflet no reemplazan el recorrido real con servicios locales, que se documenta en la sección 5.</w:t>
      </w:r>
    </w:p>
    <w:p>
      <w:pPr>
        <w:pStyle w:val="Normal"/>
        <w:keepNext w:val="true"/>
        <w:rPr/>
      </w:pPr>
      <w:r>
        <w:rPr>
          <w:sz w:val="18"/>
        </w:rPr>
        <w:t>Tabla 4. Pruebas y validación final documentada</w:t>
      </w:r>
    </w:p>
    <w:tbl>
      <w:tblPr>
        <w:tblW w:w="10224" w:type="dxa"/>
        <w:jc w:val="center"/>
        <w:tblInd w:w="0" w:type="dxa"/>
        <w:tblLayout w:type="fixed"/>
        <w:tblCellMar>
          <w:top w:w="35" w:type="dxa"/>
          <w:start w:w="55" w:type="dxa"/>
          <w:bottom w:w="35" w:type="dxa"/>
          <w:end w:w="55" w:type="dxa"/>
        </w:tblCellMar>
        <w:tblLook w:noHBand="0" w:noVBand="1" w:firstColumn="1" w:lastRow="0" w:lastColumn="0" w:firstRow="1" w:val="04a0"/>
      </w:tblPr>
      <w:tblGrid>
        <w:gridCol w:w="2304"/>
        <w:gridCol w:w="1654"/>
        <w:gridCol w:w="1154"/>
        <w:gridCol w:w="5112"/>
      </w:tblGrid>
      <w:tr>
        <w:trPr>
          <w:tblHeader w:val="true"/>
          <w:cantSplit/>
        </w:trPr>
        <w:tc>
          <w:tcPr>
            <w:tcW w:w="2304" w:type="dxa"/>
            <w:tcBorders/>
            <w:shd w:fill="19385F" w:val="clear"/>
            <w:vAlign w:val="center"/>
          </w:tcPr>
          <w:p>
            <w:pPr>
              <w:pStyle w:val="Normal"/>
              <w:spacing w:lineRule="auto" w:line="240" w:before="20" w:after="20"/>
              <w:rPr/>
            </w:pPr>
            <w:r>
              <w:rPr>
                <w:b/>
                <w:color w:val="FFFFFF"/>
                <w:sz w:val="18"/>
              </w:rPr>
              <w:t>Suite / validación</w:t>
            </w:r>
          </w:p>
        </w:tc>
        <w:tc>
          <w:tcPr>
            <w:tcW w:w="1654" w:type="dxa"/>
            <w:tcBorders/>
            <w:shd w:fill="19385F" w:val="clear"/>
            <w:vAlign w:val="center"/>
          </w:tcPr>
          <w:p>
            <w:pPr>
              <w:pStyle w:val="Normal"/>
              <w:spacing w:lineRule="auto" w:line="240" w:before="20" w:after="20"/>
              <w:rPr/>
            </w:pPr>
            <w:r>
              <w:rPr>
                <w:b/>
                <w:color w:val="FFFFFF"/>
                <w:sz w:val="18"/>
              </w:rPr>
              <w:t>Tests</w:t>
            </w:r>
          </w:p>
        </w:tc>
        <w:tc>
          <w:tcPr>
            <w:tcW w:w="1154" w:type="dxa"/>
            <w:tcBorders/>
            <w:shd w:fill="19385F" w:val="clear"/>
            <w:vAlign w:val="center"/>
          </w:tcPr>
          <w:p>
            <w:pPr>
              <w:pStyle w:val="Normal"/>
              <w:spacing w:lineRule="auto" w:line="240" w:before="20" w:after="20"/>
              <w:rPr/>
            </w:pPr>
            <w:r>
              <w:rPr>
                <w:b/>
                <w:color w:val="FFFFFF"/>
                <w:sz w:val="18"/>
              </w:rPr>
              <w:t>Resultado</w:t>
            </w:r>
          </w:p>
        </w:tc>
        <w:tc>
          <w:tcPr>
            <w:tcW w:w="5112" w:type="dxa"/>
            <w:tcBorders/>
            <w:shd w:fill="19385F" w:val="clear"/>
            <w:vAlign w:val="center"/>
          </w:tcPr>
          <w:p>
            <w:pPr>
              <w:pStyle w:val="Normal"/>
              <w:spacing w:lineRule="auto" w:line="240" w:before="20" w:after="20"/>
              <w:rPr/>
            </w:pPr>
            <w:r>
              <w:rPr>
                <w:b/>
                <w:color w:val="FFFFFF"/>
                <w:sz w:val="18"/>
              </w:rPr>
              <w:t>Cobertura o alcance</w:t>
            </w:r>
          </w:p>
        </w:tc>
      </w:tr>
      <w:tr>
        <w:trPr>
          <w:cantSplit/>
        </w:trPr>
        <w:tc>
          <w:tcPr>
            <w:tcW w:w="2304" w:type="dxa"/>
            <w:tcBorders/>
            <w:shd w:fill="F0F4F8" w:val="clear"/>
            <w:vAlign w:val="center"/>
          </w:tcPr>
          <w:p>
            <w:pPr>
              <w:pStyle w:val="Normal"/>
              <w:spacing w:lineRule="auto" w:line="240" w:before="20" w:after="20"/>
              <w:rPr/>
            </w:pPr>
            <w:r>
              <w:rPr>
                <w:b w:val="false"/>
                <w:color w:val="243444"/>
                <w:sz w:val="18"/>
              </w:rPr>
              <w:t>Rust, corte ACT-03</w:t>
            </w:r>
          </w:p>
        </w:tc>
        <w:tc>
          <w:tcPr>
            <w:tcW w:w="1654" w:type="dxa"/>
            <w:tcBorders/>
            <w:shd w:fill="F0F4F8" w:val="clear"/>
            <w:vAlign w:val="center"/>
          </w:tcPr>
          <w:p>
            <w:pPr>
              <w:pStyle w:val="Normal"/>
              <w:spacing w:lineRule="auto" w:line="240" w:before="20" w:after="20"/>
              <w:rPr/>
            </w:pPr>
            <w:r>
              <w:rPr>
                <w:b w:val="false"/>
                <w:color w:val="243444"/>
                <w:sz w:val="18"/>
              </w:rPr>
              <w:t>74</w:t>
            </w:r>
          </w:p>
        </w:tc>
        <w:tc>
          <w:tcPr>
            <w:tcW w:w="1154" w:type="dxa"/>
            <w:tcBorders/>
            <w:shd w:fill="F0F4F8" w:val="clear"/>
            <w:vAlign w:val="center"/>
          </w:tcPr>
          <w:p>
            <w:pPr>
              <w:pStyle w:val="Normal"/>
              <w:spacing w:lineRule="auto" w:line="240" w:before="20" w:after="20"/>
              <w:rPr/>
            </w:pPr>
            <w:r>
              <w:rPr>
                <w:b w:val="false"/>
                <w:color w:val="243444"/>
                <w:sz w:val="18"/>
              </w:rPr>
              <w:t>PASS</w:t>
            </w:r>
          </w:p>
        </w:tc>
        <w:tc>
          <w:tcPr>
            <w:tcW w:w="5112" w:type="dxa"/>
            <w:tcBorders/>
            <w:shd w:fill="F0F4F8" w:val="clear"/>
            <w:vAlign w:val="center"/>
          </w:tcPr>
          <w:p>
            <w:pPr>
              <w:pStyle w:val="Normal"/>
              <w:spacing w:lineRule="auto" w:line="240" w:before="20" w:after="20"/>
              <w:rPr/>
            </w:pPr>
            <w:r>
              <w:rPr>
                <w:b w:val="false"/>
                <w:color w:val="243444"/>
                <w:sz w:val="18"/>
              </w:rPr>
              <w:t>Módulo escolar: 85.91% líneas, medición ACT-01.</w:t>
            </w:r>
          </w:p>
        </w:tc>
      </w:tr>
      <w:tr>
        <w:trPr>
          <w:cantSplit/>
        </w:trPr>
        <w:tc>
          <w:tcPr>
            <w:tcW w:w="2304" w:type="dxa"/>
            <w:tcBorders/>
            <w:shd w:fill="FFFFFF" w:val="clear"/>
            <w:vAlign w:val="center"/>
          </w:tcPr>
          <w:p>
            <w:pPr>
              <w:pStyle w:val="Normal"/>
              <w:spacing w:lineRule="auto" w:line="240" w:before="20" w:after="20"/>
              <w:rPr/>
            </w:pPr>
            <w:r>
              <w:rPr>
                <w:b w:val="false"/>
                <w:color w:val="243444"/>
                <w:sz w:val="18"/>
              </w:rPr>
              <w:t>Jest, UI final</w:t>
            </w:r>
          </w:p>
        </w:tc>
        <w:tc>
          <w:tcPr>
            <w:tcW w:w="1654" w:type="dxa"/>
            <w:tcBorders/>
            <w:shd w:fill="FFFFFF" w:val="clear"/>
            <w:vAlign w:val="center"/>
          </w:tcPr>
          <w:p>
            <w:pPr>
              <w:pStyle w:val="Normal"/>
              <w:spacing w:lineRule="auto" w:line="240" w:before="20" w:after="20"/>
              <w:rPr/>
            </w:pPr>
            <w:r>
              <w:rPr>
                <w:b w:val="false"/>
                <w:color w:val="243444"/>
                <w:sz w:val="18"/>
              </w:rPr>
              <w:t>44</w:t>
            </w:r>
          </w:p>
        </w:tc>
        <w:tc>
          <w:tcPr>
            <w:tcW w:w="1154" w:type="dxa"/>
            <w:tcBorders/>
            <w:shd w:fill="FFFFFF" w:val="clear"/>
            <w:vAlign w:val="center"/>
          </w:tcPr>
          <w:p>
            <w:pPr>
              <w:pStyle w:val="Normal"/>
              <w:spacing w:lineRule="auto" w:line="240" w:before="20" w:after="20"/>
              <w:rPr/>
            </w:pPr>
            <w:r>
              <w:rPr>
                <w:b w:val="false"/>
                <w:color w:val="243444"/>
                <w:sz w:val="18"/>
              </w:rPr>
              <w:t>PASS</w:t>
            </w:r>
          </w:p>
        </w:tc>
        <w:tc>
          <w:tcPr>
            <w:tcW w:w="5112" w:type="dxa"/>
            <w:tcBorders/>
            <w:shd w:fill="FFFFFF" w:val="clear"/>
            <w:vAlign w:val="center"/>
          </w:tcPr>
          <w:p>
            <w:pPr>
              <w:pStyle w:val="Normal"/>
              <w:spacing w:lineRule="auto" w:line="240" w:before="20" w:after="20"/>
              <w:rPr/>
            </w:pPr>
            <w:r>
              <w:rPr>
                <w:b w:val="false"/>
                <w:color w:val="243444"/>
                <w:sz w:val="18"/>
              </w:rPr>
              <w:t>98.04% líneas/sentencias en archivos configurados.</w:t>
            </w:r>
          </w:p>
        </w:tc>
      </w:tr>
      <w:tr>
        <w:trPr>
          <w:cantSplit/>
        </w:trPr>
        <w:tc>
          <w:tcPr>
            <w:tcW w:w="2304" w:type="dxa"/>
            <w:tcBorders/>
            <w:shd w:fill="F0F4F8" w:val="clear"/>
            <w:vAlign w:val="center"/>
          </w:tcPr>
          <w:p>
            <w:pPr>
              <w:pStyle w:val="Normal"/>
              <w:spacing w:lineRule="auto" w:line="240" w:before="20" w:after="20"/>
              <w:rPr/>
            </w:pPr>
            <w:r>
              <w:rPr>
                <w:b w:val="false"/>
                <w:color w:val="243444"/>
                <w:sz w:val="18"/>
              </w:rPr>
              <w:t>Smoke de navegador UI-01</w:t>
            </w:r>
          </w:p>
        </w:tc>
        <w:tc>
          <w:tcPr>
            <w:tcW w:w="1654" w:type="dxa"/>
            <w:tcBorders/>
            <w:shd w:fill="F0F4F8" w:val="clear"/>
            <w:vAlign w:val="center"/>
          </w:tcPr>
          <w:p>
            <w:pPr>
              <w:pStyle w:val="Normal"/>
              <w:spacing w:lineRule="auto" w:line="240" w:before="20" w:after="20"/>
              <w:rPr/>
            </w:pPr>
            <w:r>
              <w:rPr>
                <w:b w:val="false"/>
                <w:color w:val="243444"/>
                <w:sz w:val="18"/>
              </w:rPr>
              <w:t>19 comprobaciones</w:t>
            </w:r>
          </w:p>
        </w:tc>
        <w:tc>
          <w:tcPr>
            <w:tcW w:w="1154" w:type="dxa"/>
            <w:tcBorders/>
            <w:shd w:fill="F0F4F8" w:val="clear"/>
            <w:vAlign w:val="center"/>
          </w:tcPr>
          <w:p>
            <w:pPr>
              <w:pStyle w:val="Normal"/>
              <w:spacing w:lineRule="auto" w:line="240" w:before="20" w:after="20"/>
              <w:rPr/>
            </w:pPr>
            <w:r>
              <w:rPr>
                <w:b w:val="false"/>
                <w:color w:val="243444"/>
                <w:sz w:val="18"/>
              </w:rPr>
              <w:t>PASS</w:t>
            </w:r>
          </w:p>
        </w:tc>
        <w:tc>
          <w:tcPr>
            <w:tcW w:w="5112" w:type="dxa"/>
            <w:tcBorders/>
            <w:shd w:fill="F0F4F8" w:val="clear"/>
            <w:vAlign w:val="center"/>
          </w:tcPr>
          <w:p>
            <w:pPr>
              <w:pStyle w:val="Normal"/>
              <w:spacing w:lineRule="auto" w:line="240" w:before="20" w:after="20"/>
              <w:rPr/>
            </w:pPr>
            <w:r>
              <w:rPr>
                <w:b w:val="false"/>
                <w:color w:val="243444"/>
                <w:sz w:val="18"/>
              </w:rPr>
              <w:t>Roles, lifecycle, mapa, CEO y navegación móvil.</w:t>
            </w:r>
          </w:p>
        </w:tc>
      </w:tr>
      <w:tr>
        <w:trPr>
          <w:cantSplit/>
        </w:trPr>
        <w:tc>
          <w:tcPr>
            <w:tcW w:w="2304" w:type="dxa"/>
            <w:tcBorders/>
            <w:shd w:fill="FFFFFF" w:val="clear"/>
            <w:vAlign w:val="center"/>
          </w:tcPr>
          <w:p>
            <w:pPr>
              <w:pStyle w:val="Normal"/>
              <w:spacing w:lineRule="auto" w:line="240" w:before="20" w:after="20"/>
              <w:rPr/>
            </w:pPr>
            <w:r>
              <w:rPr>
                <w:b w:val="false"/>
                <w:color w:val="243444"/>
                <w:sz w:val="18"/>
              </w:rPr>
              <w:t>Lint, TypeScript, Next build</w:t>
            </w:r>
          </w:p>
        </w:tc>
        <w:tc>
          <w:tcPr>
            <w:tcW w:w="1654" w:type="dxa"/>
            <w:tcBorders/>
            <w:shd w:fill="FFFFFF" w:val="clear"/>
            <w:vAlign w:val="center"/>
          </w:tcPr>
          <w:p>
            <w:pPr>
              <w:pStyle w:val="Normal"/>
              <w:spacing w:lineRule="auto" w:line="240" w:before="20" w:after="20"/>
              <w:rPr/>
            </w:pPr>
            <w:r>
              <w:rPr>
                <w:b w:val="false"/>
                <w:color w:val="243444"/>
                <w:sz w:val="18"/>
              </w:rPr>
              <w:t>No aplica</w:t>
            </w:r>
          </w:p>
        </w:tc>
        <w:tc>
          <w:tcPr>
            <w:tcW w:w="1154" w:type="dxa"/>
            <w:tcBorders/>
            <w:shd w:fill="FFFFFF" w:val="clear"/>
            <w:vAlign w:val="center"/>
          </w:tcPr>
          <w:p>
            <w:pPr>
              <w:pStyle w:val="Normal"/>
              <w:spacing w:lineRule="auto" w:line="240" w:before="20" w:after="20"/>
              <w:rPr/>
            </w:pPr>
            <w:r>
              <w:rPr>
                <w:b w:val="false"/>
                <w:color w:val="243444"/>
                <w:sz w:val="18"/>
              </w:rPr>
              <w:t>PASS</w:t>
            </w:r>
          </w:p>
        </w:tc>
        <w:tc>
          <w:tcPr>
            <w:tcW w:w="5112" w:type="dxa"/>
            <w:tcBorders/>
            <w:shd w:fill="FFFFFF" w:val="clear"/>
            <w:vAlign w:val="center"/>
          </w:tcPr>
          <w:p>
            <w:pPr>
              <w:pStyle w:val="Normal"/>
              <w:spacing w:lineRule="auto" w:line="240" w:before="20" w:after="20"/>
              <w:rPr/>
            </w:pPr>
            <w:r>
              <w:rPr>
                <w:b w:val="false"/>
                <w:color w:val="243444"/>
                <w:sz w:val="18"/>
              </w:rPr>
              <w:t>Validación final del frontend.</w:t>
            </w:r>
          </w:p>
        </w:tc>
      </w:tr>
      <w:tr>
        <w:trPr>
          <w:cantSplit/>
        </w:trPr>
        <w:tc>
          <w:tcPr>
            <w:tcW w:w="2304" w:type="dxa"/>
            <w:tcBorders/>
            <w:shd w:fill="F0F4F8" w:val="clear"/>
            <w:vAlign w:val="center"/>
          </w:tcPr>
          <w:p>
            <w:pPr>
              <w:pStyle w:val="Normal"/>
              <w:spacing w:lineRule="auto" w:line="240" w:before="20" w:after="20"/>
              <w:rPr/>
            </w:pPr>
            <w:r>
              <w:rPr>
                <w:b w:val="false"/>
                <w:color w:val="243444"/>
                <w:sz w:val="18"/>
              </w:rPr>
              <w:t>Build y arranque Docker</w:t>
            </w:r>
          </w:p>
        </w:tc>
        <w:tc>
          <w:tcPr>
            <w:tcW w:w="1654" w:type="dxa"/>
            <w:tcBorders/>
            <w:shd w:fill="F0F4F8" w:val="clear"/>
            <w:vAlign w:val="center"/>
          </w:tcPr>
          <w:p>
            <w:pPr>
              <w:pStyle w:val="Normal"/>
              <w:spacing w:lineRule="auto" w:line="240" w:before="20" w:after="20"/>
              <w:rPr/>
            </w:pPr>
            <w:r>
              <w:rPr>
                <w:b w:val="false"/>
                <w:color w:val="243444"/>
                <w:sz w:val="18"/>
              </w:rPr>
              <w:t>4 servicios</w:t>
            </w:r>
          </w:p>
        </w:tc>
        <w:tc>
          <w:tcPr>
            <w:tcW w:w="1154" w:type="dxa"/>
            <w:tcBorders/>
            <w:shd w:fill="F0F4F8" w:val="clear"/>
            <w:vAlign w:val="center"/>
          </w:tcPr>
          <w:p>
            <w:pPr>
              <w:pStyle w:val="Normal"/>
              <w:spacing w:lineRule="auto" w:line="240" w:before="20" w:after="20"/>
              <w:rPr/>
            </w:pPr>
            <w:r>
              <w:rPr>
                <w:b w:val="false"/>
                <w:color w:val="243444"/>
                <w:sz w:val="18"/>
              </w:rPr>
              <w:t>PASS</w:t>
            </w:r>
          </w:p>
        </w:tc>
        <w:tc>
          <w:tcPr>
            <w:tcW w:w="5112" w:type="dxa"/>
            <w:tcBorders/>
            <w:shd w:fill="F0F4F8" w:val="clear"/>
            <w:vAlign w:val="center"/>
          </w:tcPr>
          <w:p>
            <w:pPr>
              <w:pStyle w:val="Normal"/>
              <w:spacing w:lineRule="auto" w:line="240" w:before="20" w:after="20"/>
              <w:rPr/>
            </w:pPr>
            <w:r>
              <w:rPr>
                <w:b w:val="false"/>
                <w:color w:val="243444"/>
                <w:sz w:val="18"/>
              </w:rPr>
              <w:t>PostgreSQL, Chroma, backend y frontend.</w:t>
            </w:r>
          </w:p>
        </w:tc>
      </w:tr>
    </w:tbl>
    <w:p>
      <w:pPr>
        <w:pStyle w:val="Heading2"/>
        <w:rPr/>
      </w:pPr>
      <w:r>
        <w:rPr/>
        <w:t>2.7 Cobertura</w:t>
      </w:r>
    </w:p>
    <w:p>
      <w:pPr>
        <w:pStyle w:val="Normal"/>
        <w:keepNext w:val="true"/>
        <w:rPr/>
      </w:pPr>
      <w:r>
        <w:rPr>
          <w:sz w:val="18"/>
        </w:rPr>
        <w:t>Tabla 5. Cobertura separada por herramienta, alcance y corte</w:t>
      </w:r>
    </w:p>
    <w:tbl>
      <w:tblPr>
        <w:tblW w:w="10224" w:type="dxa"/>
        <w:jc w:val="center"/>
        <w:tblInd w:w="0" w:type="dxa"/>
        <w:tblLayout w:type="fixed"/>
        <w:tblCellMar>
          <w:top w:w="35" w:type="dxa"/>
          <w:start w:w="55" w:type="dxa"/>
          <w:bottom w:w="35" w:type="dxa"/>
          <w:end w:w="55" w:type="dxa"/>
        </w:tblCellMar>
        <w:tblLook w:noHBand="0" w:noVBand="1" w:firstColumn="1" w:lastRow="0" w:lastColumn="0" w:firstRow="1" w:val="04a0"/>
      </w:tblPr>
      <w:tblGrid>
        <w:gridCol w:w="3238"/>
        <w:gridCol w:w="2952"/>
        <w:gridCol w:w="4034"/>
      </w:tblGrid>
      <w:tr>
        <w:trPr>
          <w:tblHeader w:val="true"/>
          <w:cantSplit/>
        </w:trPr>
        <w:tc>
          <w:tcPr>
            <w:tcW w:w="3238" w:type="dxa"/>
            <w:tcBorders/>
            <w:shd w:fill="19385F" w:val="clear"/>
            <w:vAlign w:val="center"/>
          </w:tcPr>
          <w:p>
            <w:pPr>
              <w:pStyle w:val="Normal"/>
              <w:spacing w:lineRule="auto" w:line="240" w:before="20" w:after="20"/>
              <w:rPr/>
            </w:pPr>
            <w:r>
              <w:rPr>
                <w:b/>
                <w:color w:val="FFFFFF"/>
                <w:sz w:val="18"/>
              </w:rPr>
              <w:t>Medición</w:t>
            </w:r>
          </w:p>
        </w:tc>
        <w:tc>
          <w:tcPr>
            <w:tcW w:w="2952" w:type="dxa"/>
            <w:tcBorders/>
            <w:shd w:fill="19385F" w:val="clear"/>
            <w:vAlign w:val="center"/>
          </w:tcPr>
          <w:p>
            <w:pPr>
              <w:pStyle w:val="Normal"/>
              <w:spacing w:lineRule="auto" w:line="240" w:before="20" w:after="20"/>
              <w:rPr/>
            </w:pPr>
            <w:r>
              <w:rPr>
                <w:b/>
                <w:color w:val="FFFFFF"/>
                <w:sz w:val="18"/>
              </w:rPr>
              <w:t>Resultado</w:t>
            </w:r>
          </w:p>
        </w:tc>
        <w:tc>
          <w:tcPr>
            <w:tcW w:w="4034" w:type="dxa"/>
            <w:tcBorders/>
            <w:shd w:fill="19385F" w:val="clear"/>
            <w:vAlign w:val="center"/>
          </w:tcPr>
          <w:p>
            <w:pPr>
              <w:pStyle w:val="Normal"/>
              <w:spacing w:lineRule="auto" w:line="240" w:before="20" w:after="20"/>
              <w:rPr/>
            </w:pPr>
            <w:r>
              <w:rPr>
                <w:b/>
                <w:color w:val="FFFFFF"/>
                <w:sz w:val="18"/>
              </w:rPr>
              <w:t>Interpretación</w:t>
            </w:r>
          </w:p>
        </w:tc>
      </w:tr>
      <w:tr>
        <w:trPr>
          <w:cantSplit/>
        </w:trPr>
        <w:tc>
          <w:tcPr>
            <w:tcW w:w="3238" w:type="dxa"/>
            <w:tcBorders/>
            <w:shd w:fill="F0F4F8" w:val="clear"/>
            <w:vAlign w:val="center"/>
          </w:tcPr>
          <w:p>
            <w:pPr>
              <w:pStyle w:val="Normal"/>
              <w:spacing w:lineRule="auto" w:line="240" w:before="20" w:after="20"/>
              <w:rPr/>
            </w:pPr>
            <w:r>
              <w:rPr>
                <w:b w:val="false"/>
                <w:color w:val="243444"/>
                <w:sz w:val="18"/>
              </w:rPr>
              <w:t>Rust, módulo escolar (ACT-01)</w:t>
            </w:r>
          </w:p>
        </w:tc>
        <w:tc>
          <w:tcPr>
            <w:tcW w:w="2952" w:type="dxa"/>
            <w:tcBorders/>
            <w:shd w:fill="F0F4F8" w:val="clear"/>
            <w:vAlign w:val="center"/>
          </w:tcPr>
          <w:p>
            <w:pPr>
              <w:pStyle w:val="Normal"/>
              <w:spacing w:lineRule="auto" w:line="240" w:before="20" w:after="20"/>
              <w:rPr/>
            </w:pPr>
            <w:r>
              <w:rPr>
                <w:b w:val="false"/>
                <w:color w:val="243444"/>
                <w:sz w:val="18"/>
              </w:rPr>
              <w:t>85.91% líneas</w:t>
            </w:r>
          </w:p>
        </w:tc>
        <w:tc>
          <w:tcPr>
            <w:tcW w:w="4034" w:type="dxa"/>
            <w:tcBorders/>
            <w:shd w:fill="F0F4F8" w:val="clear"/>
            <w:vAlign w:val="center"/>
          </w:tcPr>
          <w:p>
            <w:pPr>
              <w:pStyle w:val="Normal"/>
              <w:spacing w:lineRule="auto" w:line="240" w:before="20" w:after="20"/>
              <w:rPr/>
            </w:pPr>
            <w:r>
              <w:rPr>
                <w:b w:val="false"/>
                <w:color w:val="243444"/>
                <w:sz w:val="18"/>
              </w:rPr>
              <w:t>Supera el umbral de líneas del módulo evaluado.</w:t>
            </w:r>
          </w:p>
        </w:tc>
      </w:tr>
      <w:tr>
        <w:trPr>
          <w:cantSplit/>
        </w:trPr>
        <w:tc>
          <w:tcPr>
            <w:tcW w:w="3238" w:type="dxa"/>
            <w:tcBorders/>
            <w:shd w:fill="FFFFFF" w:val="clear"/>
            <w:vAlign w:val="center"/>
          </w:tcPr>
          <w:p>
            <w:pPr>
              <w:pStyle w:val="Normal"/>
              <w:spacing w:lineRule="auto" w:line="240" w:before="20" w:after="20"/>
              <w:rPr/>
            </w:pPr>
            <w:r>
              <w:rPr>
                <w:b w:val="false"/>
                <w:color w:val="243444"/>
                <w:sz w:val="18"/>
              </w:rPr>
              <w:t>Rust, módulo escolar (ACT-01)</w:t>
            </w:r>
          </w:p>
        </w:tc>
        <w:tc>
          <w:tcPr>
            <w:tcW w:w="2952" w:type="dxa"/>
            <w:tcBorders/>
            <w:shd w:fill="FFFFFF" w:val="clear"/>
            <w:vAlign w:val="center"/>
          </w:tcPr>
          <w:p>
            <w:pPr>
              <w:pStyle w:val="Normal"/>
              <w:spacing w:lineRule="auto" w:line="240" w:before="20" w:after="20"/>
              <w:rPr/>
            </w:pPr>
            <w:r>
              <w:rPr>
                <w:b w:val="false"/>
                <w:color w:val="243444"/>
                <w:sz w:val="18"/>
              </w:rPr>
              <w:t>70.81% funciones; 84.20% regiones</w:t>
            </w:r>
          </w:p>
        </w:tc>
        <w:tc>
          <w:tcPr>
            <w:tcW w:w="4034" w:type="dxa"/>
            <w:tcBorders/>
            <w:shd w:fill="FFFFFF" w:val="clear"/>
            <w:vAlign w:val="center"/>
          </w:tcPr>
          <w:p>
            <w:pPr>
              <w:pStyle w:val="Normal"/>
              <w:spacing w:lineRule="auto" w:line="240" w:before="20" w:after="20"/>
              <w:rPr/>
            </w:pPr>
            <w:r>
              <w:rPr>
                <w:b w:val="false"/>
                <w:color w:val="243444"/>
                <w:sz w:val="18"/>
              </w:rPr>
              <w:t>Se conservan ambas métricas; funciones no alcanza 80%.</w:t>
            </w:r>
          </w:p>
        </w:tc>
      </w:tr>
      <w:tr>
        <w:trPr>
          <w:cantSplit/>
        </w:trPr>
        <w:tc>
          <w:tcPr>
            <w:tcW w:w="3238" w:type="dxa"/>
            <w:tcBorders/>
            <w:shd w:fill="F0F4F8" w:val="clear"/>
            <w:vAlign w:val="center"/>
          </w:tcPr>
          <w:p>
            <w:pPr>
              <w:pStyle w:val="Normal"/>
              <w:spacing w:lineRule="auto" w:line="240" w:before="20" w:after="20"/>
              <w:rPr/>
            </w:pPr>
            <w:r>
              <w:rPr>
                <w:b w:val="false"/>
                <w:color w:val="243444"/>
                <w:sz w:val="18"/>
              </w:rPr>
              <w:t>Rust, reporte completo (ACT-02)</w:t>
            </w:r>
          </w:p>
        </w:tc>
        <w:tc>
          <w:tcPr>
            <w:tcW w:w="2952" w:type="dxa"/>
            <w:tcBorders/>
            <w:shd w:fill="F0F4F8" w:val="clear"/>
            <w:vAlign w:val="center"/>
          </w:tcPr>
          <w:p>
            <w:pPr>
              <w:pStyle w:val="Normal"/>
              <w:spacing w:lineRule="auto" w:line="240" w:before="20" w:after="20"/>
              <w:rPr/>
            </w:pPr>
            <w:r>
              <w:rPr>
                <w:b w:val="false"/>
                <w:color w:val="243444"/>
                <w:sz w:val="18"/>
              </w:rPr>
              <w:t>74.48% líneas</w:t>
            </w:r>
          </w:p>
        </w:tc>
        <w:tc>
          <w:tcPr>
            <w:tcW w:w="4034" w:type="dxa"/>
            <w:tcBorders/>
            <w:shd w:fill="F0F4F8" w:val="clear"/>
            <w:vAlign w:val="center"/>
          </w:tcPr>
          <w:p>
            <w:pPr>
              <w:pStyle w:val="Normal"/>
              <w:spacing w:lineRule="auto" w:line="240" w:before="20" w:after="20"/>
              <w:rPr/>
            </w:pPr>
            <w:r>
              <w:rPr>
                <w:b w:val="false"/>
                <w:color w:val="243444"/>
                <w:sz w:val="18"/>
              </w:rPr>
              <w:t>Histórico del backend instrumentado completo; no es el módulo.</w:t>
            </w:r>
          </w:p>
        </w:tc>
      </w:tr>
      <w:tr>
        <w:trPr>
          <w:cantSplit/>
        </w:trPr>
        <w:tc>
          <w:tcPr>
            <w:tcW w:w="3238" w:type="dxa"/>
            <w:tcBorders/>
            <w:shd w:fill="FFFFFF" w:val="clear"/>
            <w:vAlign w:val="center"/>
          </w:tcPr>
          <w:p>
            <w:pPr>
              <w:pStyle w:val="Normal"/>
              <w:spacing w:lineRule="auto" w:line="240" w:before="20" w:after="20"/>
              <w:rPr/>
            </w:pPr>
            <w:r>
              <w:rPr>
                <w:b w:val="false"/>
                <w:color w:val="243444"/>
                <w:sz w:val="18"/>
              </w:rPr>
              <w:t>Jest configurado (UI final)</w:t>
            </w:r>
          </w:p>
        </w:tc>
        <w:tc>
          <w:tcPr>
            <w:tcW w:w="2952" w:type="dxa"/>
            <w:tcBorders/>
            <w:shd w:fill="FFFFFF" w:val="clear"/>
            <w:vAlign w:val="center"/>
          </w:tcPr>
          <w:p>
            <w:pPr>
              <w:pStyle w:val="Normal"/>
              <w:spacing w:lineRule="auto" w:line="240" w:before="20" w:after="20"/>
              <w:rPr/>
            </w:pPr>
            <w:r>
              <w:rPr>
                <w:b w:val="false"/>
                <w:color w:val="243444"/>
                <w:sz w:val="18"/>
              </w:rPr>
              <w:t>98.04% líneas; 98.04% sentencias</w:t>
            </w:r>
          </w:p>
        </w:tc>
        <w:tc>
          <w:tcPr>
            <w:tcW w:w="4034" w:type="dxa"/>
            <w:tcBorders/>
            <w:shd w:fill="FFFFFF" w:val="clear"/>
            <w:vAlign w:val="center"/>
          </w:tcPr>
          <w:p>
            <w:pPr>
              <w:pStyle w:val="Normal"/>
              <w:spacing w:lineRule="auto" w:line="240" w:before="20" w:after="20"/>
              <w:rPr/>
            </w:pPr>
            <w:r>
              <w:rPr>
                <w:b w:val="false"/>
                <w:color w:val="243444"/>
                <w:sz w:val="18"/>
              </w:rPr>
              <w:t>No corresponde a todo frontend/src.</w:t>
            </w:r>
          </w:p>
        </w:tc>
      </w:tr>
      <w:tr>
        <w:trPr>
          <w:cantSplit/>
        </w:trPr>
        <w:tc>
          <w:tcPr>
            <w:tcW w:w="3238" w:type="dxa"/>
            <w:tcBorders/>
            <w:shd w:fill="F0F4F8" w:val="clear"/>
            <w:vAlign w:val="center"/>
          </w:tcPr>
          <w:p>
            <w:pPr>
              <w:pStyle w:val="Normal"/>
              <w:spacing w:lineRule="auto" w:line="240" w:before="20" w:after="20"/>
              <w:rPr/>
            </w:pPr>
            <w:r>
              <w:rPr>
                <w:b w:val="false"/>
                <w:color w:val="243444"/>
                <w:sz w:val="18"/>
              </w:rPr>
              <w:t>Jest configurado (UI final)</w:t>
            </w:r>
          </w:p>
        </w:tc>
        <w:tc>
          <w:tcPr>
            <w:tcW w:w="2952" w:type="dxa"/>
            <w:tcBorders/>
            <w:shd w:fill="F0F4F8" w:val="clear"/>
            <w:vAlign w:val="center"/>
          </w:tcPr>
          <w:p>
            <w:pPr>
              <w:pStyle w:val="Normal"/>
              <w:spacing w:lineRule="auto" w:line="240" w:before="20" w:after="20"/>
              <w:rPr/>
            </w:pPr>
            <w:r>
              <w:rPr>
                <w:b w:val="false"/>
                <w:color w:val="243444"/>
                <w:sz w:val="18"/>
              </w:rPr>
              <w:t>91.88% ramas; 86.2% funciones</w:t>
            </w:r>
          </w:p>
        </w:tc>
        <w:tc>
          <w:tcPr>
            <w:tcW w:w="4034" w:type="dxa"/>
            <w:tcBorders/>
            <w:shd w:fill="F0F4F8" w:val="clear"/>
            <w:vAlign w:val="center"/>
          </w:tcPr>
          <w:p>
            <w:pPr>
              <w:pStyle w:val="Normal"/>
              <w:spacing w:lineRule="auto" w:line="240" w:before="20" w:after="20"/>
              <w:rPr/>
            </w:pPr>
            <w:r>
              <w:rPr>
                <w:b w:val="false"/>
                <w:color w:val="243444"/>
                <w:sz w:val="18"/>
              </w:rPr>
              <w:t>Las cuatro métricas superan el umbral global configurado de 80%.</w:t>
            </w:r>
          </w:p>
        </w:tc>
      </w:tr>
      <w:tr>
        <w:trPr>
          <w:cantSplit/>
        </w:trPr>
        <w:tc>
          <w:tcPr>
            <w:tcW w:w="3238" w:type="dxa"/>
            <w:tcBorders/>
            <w:shd w:fill="FFFFFF" w:val="clear"/>
            <w:vAlign w:val="center"/>
          </w:tcPr>
          <w:p>
            <w:pPr>
              <w:pStyle w:val="Normal"/>
              <w:spacing w:lineRule="auto" w:line="240" w:before="20" w:after="20"/>
              <w:rPr/>
            </w:pPr>
            <w:r>
              <w:rPr>
                <w:b w:val="false"/>
                <w:color w:val="243444"/>
                <w:sz w:val="18"/>
              </w:rPr>
              <w:t>Sonar total (ACT-03)</w:t>
            </w:r>
          </w:p>
        </w:tc>
        <w:tc>
          <w:tcPr>
            <w:tcW w:w="2952" w:type="dxa"/>
            <w:tcBorders/>
            <w:shd w:fill="FFFFFF" w:val="clear"/>
            <w:vAlign w:val="center"/>
          </w:tcPr>
          <w:p>
            <w:pPr>
              <w:pStyle w:val="Normal"/>
              <w:spacing w:lineRule="auto" w:line="240" w:before="20" w:after="20"/>
              <w:rPr/>
            </w:pPr>
            <w:r>
              <w:rPr>
                <w:b w:val="false"/>
                <w:color w:val="243444"/>
                <w:sz w:val="18"/>
              </w:rPr>
              <w:t>77.8% frontend; 77.9% backend</w:t>
            </w:r>
          </w:p>
        </w:tc>
        <w:tc>
          <w:tcPr>
            <w:tcW w:w="4034" w:type="dxa"/>
            <w:tcBorders/>
            <w:shd w:fill="FFFFFF" w:val="clear"/>
            <w:vAlign w:val="center"/>
          </w:tcPr>
          <w:p>
            <w:pPr>
              <w:pStyle w:val="Normal"/>
              <w:spacing w:lineRule="auto" w:line="240" w:before="20" w:after="20"/>
              <w:rPr/>
            </w:pPr>
            <w:r>
              <w:rPr>
                <w:b w:val="false"/>
                <w:color w:val="243444"/>
                <w:sz w:val="18"/>
              </w:rPr>
              <w:t>Proyectos analizados; distintos del módulo y del conjunto Jest.</w:t>
            </w:r>
          </w:p>
        </w:tc>
      </w:tr>
    </w:tbl>
    <w:p>
      <w:pPr>
        <w:pStyle w:val="Normal"/>
        <w:rPr/>
      </w:pPr>
      <w:r>
        <w:rPr/>
        <w:t>El módulo Rust incluye autenticación, middleware, donaciones, escáner, bootstrap, estados y matching local. Excluye métricas CEO, seed, Groq, binarios y arranque. El conjunto Jest final incluye api.ts, mapPopup.ts, GardenGraph.tsx, login, registro, envíos y StockScanner.tsx. Estos alcances están fijados en scripts y configuración, no se deducen del número de tests.</w:t>
      </w:r>
    </w:p>
    <w:p>
      <w:pPr>
        <w:pStyle w:val="Normal"/>
        <w:rPr/>
      </w:pPr>
      <w:r>
        <w:rPr/>
        <w:t>Los valores no deben promediarse ni presentarse como cobertura absoluta. El criterio escolar de Rust se acreditó sobre líneas del módulo; el de Jest, sobre las cuatro métricas configuradas. Las cifras inferiores del reporte completo y de Sonar quedan visibles para orientar mejoras, sin modificar los umbrales ni ocultar archivos [2, 5].</w:t>
      </w:r>
      <w:r>
        <w:br w:type="page"/>
      </w:r>
    </w:p>
    <w:p>
      <w:pPr>
        <w:pStyle w:val="Heading1"/>
        <w:spacing w:before="0" w:after="100"/>
        <w:rPr/>
      </w:pPr>
      <w:r>
        <w:rPr/>
        <w:t>3. Pipeline CI/CD</w:t>
      </w:r>
    </w:p>
    <w:p>
      <w:pPr>
        <w:pStyle w:val="Heading2"/>
        <w:rPr/>
      </w:pPr>
      <w:r>
        <w:rPr/>
        <w:t>3.1 Diseño del workflow</w:t>
      </w:r>
    </w:p>
    <w:p>
      <w:pPr>
        <w:pStyle w:val="Normal"/>
        <w:rPr/>
      </w:pPr>
      <w:r>
        <w:rPr/>
        <w:t>FERXARP CI/CD se define en .github/workflows/ci-cd.yml. Los jobs de calidad backend y frontend pueden ejecutarse en paralelo; Docker espera a ambos y deploy-test espera los tres. Los pull requests validan sin desplegar. El despliegue se condiciona a push sobre main [3, 10].</w:t>
      </w:r>
    </w:p>
    <w:p>
      <w:pPr>
        <w:pStyle w:val="Normal"/>
        <w:spacing w:before="160" w:after="200"/>
        <w:rPr/>
      </w:pPr>
      <w:r>
        <w:rPr>
          <w:b/>
          <w:color w:val="19385F"/>
        </w:rPr>
        <w:t>Pull Request → Test → Coverage → Build → Docker</w:t>
        <w:br/>
        <w:t>main → Test → Build → Deploy-test → Smoke → Cleanup</w:t>
      </w:r>
    </w:p>
    <w:p>
      <w:pPr>
        <w:pStyle w:val="Normal"/>
        <w:rPr/>
      </w:pPr>
      <w:r>
        <w:rPr/>
        <w:t>El esquema resume el orden lógico; las comprobaciones de cobertura también forman parte de la ejecución en main. El token del workflow tiene contents: read y checkout no persiste credenciales. Los datos de CI son descartables y los artefactos no incluyen archivos .env ni volúmenes de bases de datos.</w:t>
      </w:r>
    </w:p>
    <w:p>
      <w:pPr>
        <w:pStyle w:val="Heading2"/>
        <w:rPr/>
      </w:pPr>
      <w:r>
        <w:rPr/>
        <w:t>3.2 Etapa de pruebas</w:t>
      </w:r>
    </w:p>
    <w:p>
      <w:pPr>
        <w:pStyle w:val="Normal"/>
        <w:rPr/>
      </w:pPr>
      <w:r>
        <w:rPr/>
        <w:t>Backend prepara PostgreSQL y Chroma, aplica migraciones y ejecuta fmt, check, SQLx prepare, tests, Clippy y cobertura del módulo. Frontend instala desde lockfile y ejecuta lint, TypeScript, Jest y cobertura. Los umbrales forman parte de la aceptación automatizada, no de una revisión manual posterior.</w:t>
      </w:r>
    </w:p>
    <w:p>
      <w:pPr>
        <w:pStyle w:val="Heading2"/>
        <w:rPr/>
      </w:pPr>
      <w:r>
        <w:rPr/>
        <w:t>3.3 Etapa de construcción</w:t>
      </w:r>
    </w:p>
    <w:p>
      <w:pPr>
        <w:pStyle w:val="Normal"/>
        <w:rPr/>
      </w:pPr>
      <w:r>
        <w:rPr/>
        <w:t>La construcción incluye binarios Rust en release, Next.js y las dos imágenes Docker. El job de deploy reconstruye las imágenes en su runner independiente; no presupone un registro productivo ni reutiliza imágenes de otro runner sin transferencia explícita.</w:t>
      </w:r>
    </w:p>
    <w:p>
      <w:pPr>
        <w:pStyle w:val="Normal"/>
        <w:keepNext w:val="true"/>
        <w:rPr/>
      </w:pPr>
      <w:r>
        <w:rPr>
          <w:sz w:val="18"/>
        </w:rPr>
        <w:t>Tabla 6. Jobs y resultado remoto</w:t>
      </w:r>
    </w:p>
    <w:tbl>
      <w:tblPr>
        <w:tblW w:w="10224" w:type="dxa"/>
        <w:jc w:val="center"/>
        <w:tblInd w:w="0" w:type="dxa"/>
        <w:tblLayout w:type="fixed"/>
        <w:tblCellMar>
          <w:top w:w="35" w:type="dxa"/>
          <w:start w:w="55" w:type="dxa"/>
          <w:bottom w:w="35" w:type="dxa"/>
          <w:end w:w="55" w:type="dxa"/>
        </w:tblCellMar>
        <w:tblLook w:noHBand="0" w:noVBand="1" w:firstColumn="1" w:lastRow="0" w:lastColumn="0" w:firstRow="1" w:val="04a0"/>
      </w:tblPr>
      <w:tblGrid>
        <w:gridCol w:w="2664"/>
        <w:gridCol w:w="5616"/>
        <w:gridCol w:w="1944"/>
      </w:tblGrid>
      <w:tr>
        <w:trPr>
          <w:tblHeader w:val="true"/>
          <w:cantSplit/>
        </w:trPr>
        <w:tc>
          <w:tcPr>
            <w:tcW w:w="2664" w:type="dxa"/>
            <w:tcBorders/>
            <w:shd w:fill="19385F" w:val="clear"/>
            <w:vAlign w:val="center"/>
          </w:tcPr>
          <w:p>
            <w:pPr>
              <w:pStyle w:val="Normal"/>
              <w:spacing w:lineRule="auto" w:line="240" w:before="20" w:after="20"/>
              <w:rPr/>
            </w:pPr>
            <w:r>
              <w:rPr>
                <w:b/>
                <w:color w:val="FFFFFF"/>
                <w:sz w:val="18"/>
              </w:rPr>
              <w:t>Job</w:t>
            </w:r>
          </w:p>
        </w:tc>
        <w:tc>
          <w:tcPr>
            <w:tcW w:w="5616" w:type="dxa"/>
            <w:tcBorders/>
            <w:shd w:fill="19385F" w:val="clear"/>
            <w:vAlign w:val="center"/>
          </w:tcPr>
          <w:p>
            <w:pPr>
              <w:pStyle w:val="Normal"/>
              <w:spacing w:lineRule="auto" w:line="240" w:before="20" w:after="20"/>
              <w:rPr/>
            </w:pPr>
            <w:r>
              <w:rPr>
                <w:b/>
                <w:color w:val="FFFFFF"/>
                <w:sz w:val="18"/>
              </w:rPr>
              <w:t>Contenido / evidencia</w:t>
            </w:r>
          </w:p>
        </w:tc>
        <w:tc>
          <w:tcPr>
            <w:tcW w:w="1944" w:type="dxa"/>
            <w:tcBorders/>
            <w:shd w:fill="19385F" w:val="clear"/>
            <w:vAlign w:val="center"/>
          </w:tcPr>
          <w:p>
            <w:pPr>
              <w:pStyle w:val="Normal"/>
              <w:spacing w:lineRule="auto" w:line="240" w:before="20" w:after="20"/>
              <w:rPr/>
            </w:pPr>
            <w:r>
              <w:rPr>
                <w:b/>
                <w:color w:val="FFFFFF"/>
                <w:sz w:val="18"/>
              </w:rPr>
              <w:t>Resultado</w:t>
            </w:r>
          </w:p>
        </w:tc>
      </w:tr>
      <w:tr>
        <w:trPr>
          <w:cantSplit/>
        </w:trPr>
        <w:tc>
          <w:tcPr>
            <w:tcW w:w="2664" w:type="dxa"/>
            <w:tcBorders/>
            <w:shd w:fill="F0F4F8" w:val="clear"/>
            <w:vAlign w:val="center"/>
          </w:tcPr>
          <w:p>
            <w:pPr>
              <w:pStyle w:val="Normal"/>
              <w:spacing w:lineRule="auto" w:line="240" w:before="20" w:after="20"/>
              <w:rPr/>
            </w:pPr>
            <w:r>
              <w:rPr>
                <w:b w:val="false"/>
                <w:color w:val="243444"/>
                <w:sz w:val="18"/>
              </w:rPr>
              <w:t>backend-quality</w:t>
            </w:r>
          </w:p>
        </w:tc>
        <w:tc>
          <w:tcPr>
            <w:tcW w:w="5616" w:type="dxa"/>
            <w:tcBorders/>
            <w:shd w:fill="F0F4F8" w:val="clear"/>
            <w:vAlign w:val="center"/>
          </w:tcPr>
          <w:p>
            <w:pPr>
              <w:pStyle w:val="Normal"/>
              <w:spacing w:lineRule="auto" w:line="240" w:before="20" w:after="20"/>
              <w:rPr/>
            </w:pPr>
            <w:r>
              <w:rPr>
                <w:b w:val="false"/>
                <w:color w:val="243444"/>
                <w:sz w:val="18"/>
              </w:rPr>
              <w:t>Tests, llvm-cov, Clippy, SQLx y release build; rust-coverage.</w:t>
            </w:r>
          </w:p>
        </w:tc>
        <w:tc>
          <w:tcPr>
            <w:tcW w:w="1944" w:type="dxa"/>
            <w:tcBorders/>
            <w:shd w:fill="F0F4F8" w:val="clear"/>
            <w:vAlign w:val="center"/>
          </w:tcPr>
          <w:p>
            <w:pPr>
              <w:pStyle w:val="Normal"/>
              <w:spacing w:lineRule="auto" w:line="240" w:before="20" w:after="20"/>
              <w:rPr/>
            </w:pPr>
            <w:r>
              <w:rPr>
                <w:b w:val="false"/>
                <w:color w:val="243444"/>
                <w:sz w:val="18"/>
              </w:rPr>
              <w:t>PASS PR/main</w:t>
            </w:r>
          </w:p>
        </w:tc>
      </w:tr>
      <w:tr>
        <w:trPr>
          <w:cantSplit/>
        </w:trPr>
        <w:tc>
          <w:tcPr>
            <w:tcW w:w="2664" w:type="dxa"/>
            <w:tcBorders/>
            <w:shd w:fill="FFFFFF" w:val="clear"/>
            <w:vAlign w:val="center"/>
          </w:tcPr>
          <w:p>
            <w:pPr>
              <w:pStyle w:val="Normal"/>
              <w:spacing w:lineRule="auto" w:line="240" w:before="20" w:after="20"/>
              <w:rPr/>
            </w:pPr>
            <w:r>
              <w:rPr>
                <w:b w:val="false"/>
                <w:color w:val="243444"/>
                <w:sz w:val="18"/>
              </w:rPr>
              <w:t>frontend-quality</w:t>
            </w:r>
          </w:p>
        </w:tc>
        <w:tc>
          <w:tcPr>
            <w:tcW w:w="5616" w:type="dxa"/>
            <w:tcBorders/>
            <w:shd w:fill="FFFFFF" w:val="clear"/>
            <w:vAlign w:val="center"/>
          </w:tcPr>
          <w:p>
            <w:pPr>
              <w:pStyle w:val="Normal"/>
              <w:spacing w:lineRule="auto" w:line="240" w:before="20" w:after="20"/>
              <w:rPr/>
            </w:pPr>
            <w:r>
              <w:rPr>
                <w:b w:val="false"/>
                <w:color w:val="243444"/>
                <w:sz w:val="18"/>
              </w:rPr>
              <w:t>Lint, tsc, Jest, cobertura y Next; jest-coverage-summary.</w:t>
            </w:r>
          </w:p>
        </w:tc>
        <w:tc>
          <w:tcPr>
            <w:tcW w:w="1944" w:type="dxa"/>
            <w:tcBorders/>
            <w:shd w:fill="FFFFFF" w:val="clear"/>
            <w:vAlign w:val="center"/>
          </w:tcPr>
          <w:p>
            <w:pPr>
              <w:pStyle w:val="Normal"/>
              <w:spacing w:lineRule="auto" w:line="240" w:before="20" w:after="20"/>
              <w:rPr/>
            </w:pPr>
            <w:r>
              <w:rPr>
                <w:b w:val="false"/>
                <w:color w:val="243444"/>
                <w:sz w:val="18"/>
              </w:rPr>
              <w:t>PASS PR/main</w:t>
            </w:r>
          </w:p>
        </w:tc>
      </w:tr>
      <w:tr>
        <w:trPr>
          <w:cantSplit/>
        </w:trPr>
        <w:tc>
          <w:tcPr>
            <w:tcW w:w="2664" w:type="dxa"/>
            <w:tcBorders/>
            <w:shd w:fill="F0F4F8" w:val="clear"/>
            <w:vAlign w:val="center"/>
          </w:tcPr>
          <w:p>
            <w:pPr>
              <w:pStyle w:val="Normal"/>
              <w:spacing w:lineRule="auto" w:line="240" w:before="20" w:after="20"/>
              <w:rPr/>
            </w:pPr>
            <w:r>
              <w:rPr>
                <w:b w:val="false"/>
                <w:color w:val="243444"/>
                <w:sz w:val="18"/>
              </w:rPr>
              <w:t>docker-build</w:t>
            </w:r>
          </w:p>
        </w:tc>
        <w:tc>
          <w:tcPr>
            <w:tcW w:w="5616" w:type="dxa"/>
            <w:tcBorders/>
            <w:shd w:fill="F0F4F8" w:val="clear"/>
            <w:vAlign w:val="center"/>
          </w:tcPr>
          <w:p>
            <w:pPr>
              <w:pStyle w:val="Normal"/>
              <w:spacing w:lineRule="auto" w:line="240" w:before="20" w:after="20"/>
              <w:rPr/>
            </w:pPr>
            <w:r>
              <w:rPr>
                <w:b w:val="false"/>
                <w:color w:val="243444"/>
                <w:sz w:val="18"/>
              </w:rPr>
              <w:t>Imágenes backend y frontend.</w:t>
            </w:r>
          </w:p>
        </w:tc>
        <w:tc>
          <w:tcPr>
            <w:tcW w:w="1944" w:type="dxa"/>
            <w:tcBorders/>
            <w:shd w:fill="F0F4F8" w:val="clear"/>
            <w:vAlign w:val="center"/>
          </w:tcPr>
          <w:p>
            <w:pPr>
              <w:pStyle w:val="Normal"/>
              <w:spacing w:lineRule="auto" w:line="240" w:before="20" w:after="20"/>
              <w:rPr/>
            </w:pPr>
            <w:r>
              <w:rPr>
                <w:b w:val="false"/>
                <w:color w:val="243444"/>
                <w:sz w:val="18"/>
              </w:rPr>
              <w:t>PASS PR/main</w:t>
            </w:r>
          </w:p>
        </w:tc>
      </w:tr>
      <w:tr>
        <w:trPr>
          <w:cantSplit/>
        </w:trPr>
        <w:tc>
          <w:tcPr>
            <w:tcW w:w="2664" w:type="dxa"/>
            <w:tcBorders/>
            <w:shd w:fill="FFFFFF" w:val="clear"/>
            <w:vAlign w:val="center"/>
          </w:tcPr>
          <w:p>
            <w:pPr>
              <w:pStyle w:val="Normal"/>
              <w:spacing w:lineRule="auto" w:line="240" w:before="20" w:after="20"/>
              <w:rPr/>
            </w:pPr>
            <w:r>
              <w:rPr>
                <w:b w:val="false"/>
                <w:color w:val="243444"/>
                <w:sz w:val="18"/>
              </w:rPr>
              <w:t>deploy-test-environment</w:t>
            </w:r>
          </w:p>
        </w:tc>
        <w:tc>
          <w:tcPr>
            <w:tcW w:w="5616" w:type="dxa"/>
            <w:tcBorders/>
            <w:shd w:fill="FFFFFF" w:val="clear"/>
            <w:vAlign w:val="center"/>
          </w:tcPr>
          <w:p>
            <w:pPr>
              <w:pStyle w:val="Normal"/>
              <w:spacing w:lineRule="auto" w:line="240" w:before="20" w:after="20"/>
              <w:rPr/>
            </w:pPr>
            <w:r>
              <w:rPr>
                <w:b w:val="false"/>
                <w:color w:val="243444"/>
                <w:sz w:val="18"/>
              </w:rPr>
              <w:t>Compose, migraciones, Admin CI, smoke y limpieza.</w:t>
            </w:r>
          </w:p>
        </w:tc>
        <w:tc>
          <w:tcPr>
            <w:tcW w:w="1944" w:type="dxa"/>
            <w:tcBorders/>
            <w:shd w:fill="FFFFFF" w:val="clear"/>
            <w:vAlign w:val="center"/>
          </w:tcPr>
          <w:p>
            <w:pPr>
              <w:pStyle w:val="Normal"/>
              <w:spacing w:lineRule="auto" w:line="240" w:before="20" w:after="20"/>
              <w:rPr/>
            </w:pPr>
            <w:r>
              <w:rPr>
                <w:b w:val="false"/>
                <w:color w:val="243444"/>
                <w:sz w:val="18"/>
              </w:rPr>
              <w:t>PASS main; omitido en PR</w:t>
            </w:r>
          </w:p>
        </w:tc>
      </w:tr>
    </w:tbl>
    <w:p>
      <w:pPr>
        <w:pStyle w:val="Heading2"/>
        <w:rPr/>
      </w:pPr>
      <w:r>
        <w:rPr/>
        <w:t>3.4 Deploy automático de prueba</w:t>
      </w:r>
    </w:p>
    <w:p>
      <w:pPr>
        <w:pStyle w:val="Normal"/>
        <w:rPr/>
      </w:pPr>
      <w:r>
        <w:rPr/>
        <w:t>El entorno efímero contiene PostgreSQL, ChromaDB, backend y frontend. Después de migrar y provisionar Admin CI, espera readiness y exige cinco respuestas HTTP 200: Chroma, /health, portada, login Admin y ruta Admin protegida. El script ejecuta docker compose down -v --remove-orphans al salir, incluso ante error. Los logs remotos acreditan smoke 5/5 y eliminación de contenedores y volúmenes. Es un entorno automatizado de prueba, no producción.</w:t>
      </w:r>
    </w:p>
    <w:p>
      <w:pPr>
        <w:pStyle w:val="Heading2"/>
        <w:rPr/>
      </w:pPr>
      <w:r>
        <w:rPr/>
        <w:t>3.5 Evidencia remota de GitHub Actions</w:t>
      </w:r>
    </w:p>
    <w:p>
      <w:pPr>
        <w:pStyle w:val="Normal"/>
        <w:rPr/>
      </w:pPr>
      <w:r>
        <w:rPr/>
        <w:t>En Rocoyoyi1527/FERXARP-rodrigo, el PR #1, run 36277313303, terminó success con pruebas, builds y artefactos; deploy fue omitido por política. El push a main, run 36278602691, terminó success con los cuatro jobs, smoke y cleanup. Sus URLs completas están en las referencias [3]. Son ejecuciones anteriores al rediseño final: no se atribuyen automáticamente a esos runs los 44 tests de UI-01.</w:t>
      </w:r>
    </w:p>
    <w:p>
      <w:pPr>
        <w:pStyle w:val="Normal"/>
        <w:rPr/>
      </w:pPr>
      <w:r>
        <w:rPr>
          <w:sz w:val="18"/>
        </w:rPr>
        <w:t>Resultado remoto acreditado: TEST = PASS · BUILD = PASS · DEPLOY = PASS.</w:t>
      </w:r>
      <w:r>
        <w:br w:type="page"/>
      </w:r>
    </w:p>
    <w:p>
      <w:pPr>
        <w:pStyle w:val="Heading1"/>
        <w:spacing w:before="0" w:after="100"/>
        <w:rPr/>
      </w:pPr>
      <w:r>
        <w:rPr/>
        <w:t>4. Pruebas de seguridad y calidad</w:t>
      </w:r>
    </w:p>
    <w:p>
      <w:pPr>
        <w:pStyle w:val="Heading2"/>
        <w:rPr/>
      </w:pPr>
      <w:r>
        <w:rPr/>
        <w:t>4.1 Entorno de pruebas</w:t>
      </w:r>
    </w:p>
    <w:p>
      <w:pPr>
        <w:pStyle w:val="Normal"/>
        <w:rPr/>
      </w:pPr>
      <w:r>
        <w:rPr/>
        <w:t>ACT-03 evaluó un Compose local aislado con datos de prueba. ZAP se conectó a una red Docker interna y solo a frontend:3000 y backend:8000. No se dirigieron ataques a Supabase, Groq ni otros servicios externos. Se exploraron rutas públicas; las protegidas tuvieron solicitudes HTTP dirigidas con JWT, no un active scan autenticado completo [4].</w:t>
      </w:r>
    </w:p>
    <w:p>
      <w:pPr>
        <w:pStyle w:val="Heading2"/>
        <w:rPr/>
      </w:pPr>
      <w:r>
        <w:rPr/>
        <w:t>4.2 OWASP ZAP</w:t>
      </w:r>
    </w:p>
    <w:p>
      <w:pPr>
        <w:pStyle w:val="Normal"/>
        <w:rPr/>
      </w:pPr>
      <w:r>
        <w:rPr/>
        <w:t>ZAP 2.17.0 ejecutó baseline pasivo y full scan activo antes y después. Los valores siguientes cuentan tipos de alerta por host, no el número de instancias ni todas las vulnerabilidades posibles. Los scans activos confirmaron los mismos tipos.</w:t>
      </w:r>
    </w:p>
    <w:p>
      <w:pPr>
        <w:pStyle w:val="Normal"/>
        <w:keepNext w:val="true"/>
        <w:rPr/>
      </w:pPr>
      <w:r>
        <w:rPr>
          <w:sz w:val="18"/>
        </w:rPr>
        <w:t>Tabla 7. Alertas ZAP antes y después</w:t>
      </w:r>
    </w:p>
    <w:tbl>
      <w:tblPr>
        <w:tblW w:w="10224" w:type="dxa"/>
        <w:jc w:val="center"/>
        <w:tblInd w:w="0" w:type="dxa"/>
        <w:tblLayout w:type="fixed"/>
        <w:tblCellMar>
          <w:top w:w="35" w:type="dxa"/>
          <w:start w:w="55" w:type="dxa"/>
          <w:bottom w:w="35" w:type="dxa"/>
          <w:end w:w="55" w:type="dxa"/>
        </w:tblCellMar>
        <w:tblLook w:noHBand="0" w:noVBand="1" w:firstColumn="1" w:lastRow="0" w:lastColumn="0" w:firstRow="1" w:val="04a0"/>
      </w:tblPr>
      <w:tblGrid>
        <w:gridCol w:w="4752"/>
        <w:gridCol w:w="2736"/>
        <w:gridCol w:w="2736"/>
      </w:tblGrid>
      <w:tr>
        <w:trPr>
          <w:tblHeader w:val="true"/>
          <w:cantSplit/>
        </w:trPr>
        <w:tc>
          <w:tcPr>
            <w:tcW w:w="4752" w:type="dxa"/>
            <w:tcBorders/>
            <w:shd w:fill="19385F" w:val="clear"/>
            <w:vAlign w:val="center"/>
          </w:tcPr>
          <w:p>
            <w:pPr>
              <w:pStyle w:val="Normal"/>
              <w:spacing w:lineRule="auto" w:line="240" w:before="20" w:after="20"/>
              <w:rPr/>
            </w:pPr>
            <w:r>
              <w:rPr>
                <w:b/>
                <w:color w:val="FFFFFF"/>
                <w:sz w:val="18"/>
              </w:rPr>
              <w:t>Severidad</w:t>
            </w:r>
          </w:p>
        </w:tc>
        <w:tc>
          <w:tcPr>
            <w:tcW w:w="2736" w:type="dxa"/>
            <w:tcBorders/>
            <w:shd w:fill="19385F" w:val="clear"/>
            <w:vAlign w:val="center"/>
          </w:tcPr>
          <w:p>
            <w:pPr>
              <w:pStyle w:val="Normal"/>
              <w:spacing w:lineRule="auto" w:line="240" w:before="20" w:after="20"/>
              <w:rPr/>
            </w:pPr>
            <w:r>
              <w:rPr>
                <w:b/>
                <w:color w:val="FFFFFF"/>
                <w:sz w:val="18"/>
              </w:rPr>
              <w:t>Antes</w:t>
            </w:r>
          </w:p>
        </w:tc>
        <w:tc>
          <w:tcPr>
            <w:tcW w:w="2736" w:type="dxa"/>
            <w:tcBorders/>
            <w:shd w:fill="19385F" w:val="clear"/>
            <w:vAlign w:val="center"/>
          </w:tcPr>
          <w:p>
            <w:pPr>
              <w:pStyle w:val="Normal"/>
              <w:spacing w:lineRule="auto" w:line="240" w:before="20" w:after="20"/>
              <w:rPr/>
            </w:pPr>
            <w:r>
              <w:rPr>
                <w:b/>
                <w:color w:val="FFFFFF"/>
                <w:sz w:val="18"/>
              </w:rPr>
              <w:t>Después</w:t>
            </w:r>
          </w:p>
        </w:tc>
      </w:tr>
      <w:tr>
        <w:trPr>
          <w:cantSplit/>
        </w:trPr>
        <w:tc>
          <w:tcPr>
            <w:tcW w:w="4752" w:type="dxa"/>
            <w:tcBorders/>
            <w:shd w:fill="F0F4F8" w:val="clear"/>
            <w:vAlign w:val="center"/>
          </w:tcPr>
          <w:p>
            <w:pPr>
              <w:pStyle w:val="Normal"/>
              <w:spacing w:lineRule="auto" w:line="240" w:before="20" w:after="20"/>
              <w:rPr/>
            </w:pPr>
            <w:r>
              <w:rPr>
                <w:b w:val="false"/>
                <w:color w:val="243444"/>
                <w:sz w:val="18"/>
              </w:rPr>
              <w:t>High</w:t>
            </w:r>
          </w:p>
        </w:tc>
        <w:tc>
          <w:tcPr>
            <w:tcW w:w="2736" w:type="dxa"/>
            <w:tcBorders/>
            <w:shd w:fill="F0F4F8" w:val="clear"/>
            <w:vAlign w:val="center"/>
          </w:tcPr>
          <w:p>
            <w:pPr>
              <w:pStyle w:val="Normal"/>
              <w:spacing w:lineRule="auto" w:line="240" w:before="20" w:after="20"/>
              <w:rPr/>
            </w:pPr>
            <w:r>
              <w:rPr>
                <w:b w:val="false"/>
                <w:color w:val="243444"/>
                <w:sz w:val="18"/>
              </w:rPr>
              <w:t>0</w:t>
            </w:r>
          </w:p>
        </w:tc>
        <w:tc>
          <w:tcPr>
            <w:tcW w:w="2736" w:type="dxa"/>
            <w:tcBorders/>
            <w:shd w:fill="F0F4F8" w:val="clear"/>
            <w:vAlign w:val="center"/>
          </w:tcPr>
          <w:p>
            <w:pPr>
              <w:pStyle w:val="Normal"/>
              <w:spacing w:lineRule="auto" w:line="240" w:before="20" w:after="20"/>
              <w:rPr/>
            </w:pPr>
            <w:r>
              <w:rPr>
                <w:b w:val="false"/>
                <w:color w:val="243444"/>
                <w:sz w:val="18"/>
              </w:rPr>
              <w:t>0</w:t>
            </w:r>
          </w:p>
        </w:tc>
      </w:tr>
      <w:tr>
        <w:trPr>
          <w:cantSplit/>
        </w:trPr>
        <w:tc>
          <w:tcPr>
            <w:tcW w:w="4752" w:type="dxa"/>
            <w:tcBorders/>
            <w:shd w:fill="FFFFFF" w:val="clear"/>
            <w:vAlign w:val="center"/>
          </w:tcPr>
          <w:p>
            <w:pPr>
              <w:pStyle w:val="Normal"/>
              <w:spacing w:lineRule="auto" w:line="240" w:before="20" w:after="20"/>
              <w:rPr/>
            </w:pPr>
            <w:r>
              <w:rPr>
                <w:b w:val="false"/>
                <w:color w:val="243444"/>
                <w:sz w:val="18"/>
              </w:rPr>
              <w:t>Medium</w:t>
            </w:r>
          </w:p>
        </w:tc>
        <w:tc>
          <w:tcPr>
            <w:tcW w:w="2736" w:type="dxa"/>
            <w:tcBorders/>
            <w:shd w:fill="FFFFFF" w:val="clear"/>
            <w:vAlign w:val="center"/>
          </w:tcPr>
          <w:p>
            <w:pPr>
              <w:pStyle w:val="Normal"/>
              <w:spacing w:lineRule="auto" w:line="240" w:before="20" w:after="20"/>
              <w:rPr/>
            </w:pPr>
            <w:r>
              <w:rPr>
                <w:b w:val="false"/>
                <w:color w:val="243444"/>
                <w:sz w:val="18"/>
              </w:rPr>
              <w:t>3</w:t>
            </w:r>
          </w:p>
        </w:tc>
        <w:tc>
          <w:tcPr>
            <w:tcW w:w="2736" w:type="dxa"/>
            <w:tcBorders/>
            <w:shd w:fill="FFFFFF" w:val="clear"/>
            <w:vAlign w:val="center"/>
          </w:tcPr>
          <w:p>
            <w:pPr>
              <w:pStyle w:val="Normal"/>
              <w:spacing w:lineRule="auto" w:line="240" w:before="20" w:after="20"/>
              <w:rPr/>
            </w:pPr>
            <w:r>
              <w:rPr>
                <w:b w:val="false"/>
                <w:color w:val="243444"/>
                <w:sz w:val="18"/>
              </w:rPr>
              <w:t>1</w:t>
            </w:r>
          </w:p>
        </w:tc>
      </w:tr>
      <w:tr>
        <w:trPr>
          <w:cantSplit/>
        </w:trPr>
        <w:tc>
          <w:tcPr>
            <w:tcW w:w="4752" w:type="dxa"/>
            <w:tcBorders/>
            <w:shd w:fill="F0F4F8" w:val="clear"/>
            <w:vAlign w:val="center"/>
          </w:tcPr>
          <w:p>
            <w:pPr>
              <w:pStyle w:val="Normal"/>
              <w:spacing w:lineRule="auto" w:line="240" w:before="20" w:after="20"/>
              <w:rPr/>
            </w:pPr>
            <w:r>
              <w:rPr>
                <w:b w:val="false"/>
                <w:color w:val="243444"/>
                <w:sz w:val="18"/>
              </w:rPr>
              <w:t>Low</w:t>
            </w:r>
          </w:p>
        </w:tc>
        <w:tc>
          <w:tcPr>
            <w:tcW w:w="2736" w:type="dxa"/>
            <w:tcBorders/>
            <w:shd w:fill="F0F4F8" w:val="clear"/>
            <w:vAlign w:val="center"/>
          </w:tcPr>
          <w:p>
            <w:pPr>
              <w:pStyle w:val="Normal"/>
              <w:spacing w:lineRule="auto" w:line="240" w:before="20" w:after="20"/>
              <w:rPr/>
            </w:pPr>
            <w:r>
              <w:rPr>
                <w:b w:val="false"/>
                <w:color w:val="243444"/>
                <w:sz w:val="18"/>
              </w:rPr>
              <w:t>3</w:t>
            </w:r>
          </w:p>
        </w:tc>
        <w:tc>
          <w:tcPr>
            <w:tcW w:w="2736" w:type="dxa"/>
            <w:tcBorders/>
            <w:shd w:fill="F0F4F8" w:val="clear"/>
            <w:vAlign w:val="center"/>
          </w:tcPr>
          <w:p>
            <w:pPr>
              <w:pStyle w:val="Normal"/>
              <w:spacing w:lineRule="auto" w:line="240" w:before="20" w:after="20"/>
              <w:rPr/>
            </w:pPr>
            <w:r>
              <w:rPr>
                <w:b w:val="false"/>
                <w:color w:val="243444"/>
                <w:sz w:val="18"/>
              </w:rPr>
              <w:t>0</w:t>
            </w:r>
          </w:p>
        </w:tc>
      </w:tr>
      <w:tr>
        <w:trPr>
          <w:cantSplit/>
        </w:trPr>
        <w:tc>
          <w:tcPr>
            <w:tcW w:w="4752" w:type="dxa"/>
            <w:tcBorders/>
            <w:shd w:fill="FFFFFF" w:val="clear"/>
            <w:vAlign w:val="center"/>
          </w:tcPr>
          <w:p>
            <w:pPr>
              <w:pStyle w:val="Normal"/>
              <w:spacing w:lineRule="auto" w:line="240" w:before="20" w:after="20"/>
              <w:rPr/>
            </w:pPr>
            <w:r>
              <w:rPr>
                <w:b w:val="false"/>
                <w:color w:val="243444"/>
                <w:sz w:val="18"/>
              </w:rPr>
              <w:t>Informational</w:t>
            </w:r>
          </w:p>
        </w:tc>
        <w:tc>
          <w:tcPr>
            <w:tcW w:w="2736" w:type="dxa"/>
            <w:tcBorders/>
            <w:shd w:fill="FFFFFF" w:val="clear"/>
            <w:vAlign w:val="center"/>
          </w:tcPr>
          <w:p>
            <w:pPr>
              <w:pStyle w:val="Normal"/>
              <w:spacing w:lineRule="auto" w:line="240" w:before="20" w:after="20"/>
              <w:rPr/>
            </w:pPr>
            <w:r>
              <w:rPr>
                <w:b w:val="false"/>
                <w:color w:val="243444"/>
                <w:sz w:val="18"/>
              </w:rPr>
              <w:t>1</w:t>
            </w:r>
          </w:p>
        </w:tc>
        <w:tc>
          <w:tcPr>
            <w:tcW w:w="2736" w:type="dxa"/>
            <w:tcBorders/>
            <w:shd w:fill="FFFFFF" w:val="clear"/>
            <w:vAlign w:val="center"/>
          </w:tcPr>
          <w:p>
            <w:pPr>
              <w:pStyle w:val="Normal"/>
              <w:spacing w:lineRule="auto" w:line="240" w:before="20" w:after="20"/>
              <w:rPr/>
            </w:pPr>
            <w:r>
              <w:rPr>
                <w:b w:val="false"/>
                <w:color w:val="243444"/>
                <w:sz w:val="18"/>
              </w:rPr>
              <w:t>1</w:t>
            </w:r>
          </w:p>
        </w:tc>
      </w:tr>
    </w:tbl>
    <w:p>
      <w:pPr>
        <w:pStyle w:val="Heading2"/>
        <w:rPr/>
      </w:pPr>
      <w:r>
        <w:rPr/>
        <w:t>4.3 Vulnerabilidades encontradas</w:t>
      </w:r>
    </w:p>
    <w:p>
      <w:pPr>
        <w:pStyle w:val="Normal"/>
        <w:rPr/>
      </w:pPr>
      <w:r>
        <w:rPr/>
        <w:t>Se confirmaron CORS permisivo, falta de protección frente a framing, ausencia de nosniff y exposición de X-Powered-By. La aplicación web moderna se mantuvo como aviso informativo, no como vulnerabilidad. CSP ausente sigue siendo un verdadero positivo Medium. El XSS almacenado fue clasificado High por la prueba complementaria Chromium y se informa separado del conteo ZAP.</w:t>
      </w:r>
    </w:p>
    <w:p>
      <w:pPr>
        <w:pStyle w:val="Heading2"/>
        <w:rPr/>
      </w:pPr>
      <w:r>
        <w:rPr/>
        <w:t>4.4 Correcciones</w:t>
      </w:r>
    </w:p>
    <w:p>
      <w:pPr>
        <w:pStyle w:val="Normal"/>
        <w:rPr/>
      </w:pPr>
      <w:r>
        <w:rPr/>
        <w:t>El backend restringe CORS mediante FRONTEND_ORIGIN y tiene pruebas de origen permitido/no permitido. Se incorporaron X-Content-Type-Options: nosniff, X-Frame-Options: DENY y Referrer-Policy; Next dejó de publicar X-Powered-By. Los re-scans documentan la desaparición de los avisos corregidos. CSP no se declara resuelta: requiere una política compatible con Next, API y mapa.</w:t>
      </w:r>
    </w:p>
    <w:p>
      <w:pPr>
        <w:pStyle w:val="Heading2"/>
        <w:rPr/>
      </w:pPr>
      <w:r>
        <w:rPr/>
        <w:t>4.5 SQL Injection</w:t>
      </w:r>
    </w:p>
    <w:p>
      <w:pPr>
        <w:pStyle w:val="Normal"/>
        <w:rPr/>
      </w:pPr>
      <w:r>
        <w:rPr/>
        <w:t>Se usó el payload controlado ' OR '1'='1 en login, registro, títulos, identificadores, filtros y scanner. Login devolvió 401; IDs y filtros inválidos, 400; scanner, 422. Registro y título admitidos se recuperaron como datos literales. No se observó bypass ni alteración de consultas en los casos ensayados; esto no demuestra ausencia absoluta de SQLi. SQLx parametrizado constituye un control adicional verificable en código.</w:t>
      </w:r>
    </w:p>
    <w:p>
      <w:pPr>
        <w:pStyle w:val="Heading2"/>
        <w:rPr/>
      </w:pPr>
      <w:r>
        <w:rPr/>
        <w:t>4.6 XSS almacenado</w:t>
      </w:r>
    </w:p>
    <w:p>
      <w:pPr>
        <w:pStyle w:val="Normal"/>
        <w:rPr/>
      </w:pPr>
      <w:r>
        <w:rPr/>
        <w:t>El nombre de ONG con &lt;img src=x onerror=alert(1)&gt; se almacenaba y llegaba al popup Leaflet. Chromium demostró ejecución de JavaScript antes de la corrección, aunque ZAP no lo detectó. Se sustituyó la interpolación HTML por nodos DOM y textContent. La repetición con el mismo payload dejó el texto literal, sin alerta ni nodo img, y se añadió regresión Jest. No se extrapola esa comprobación a todos los campos posibles de la plataforma.</w:t>
      </w:r>
    </w:p>
    <w:p>
      <w:pPr>
        <w:pStyle w:val="Normal"/>
        <w:rPr/>
      </w:pPr>
      <w:r>
        <w:rPr>
          <w:sz w:val="18"/>
        </w:rPr>
        <w:t>Evidencia: zap-before/after-*, http-before/after.json y browser-xss-before/after.json, en docs/evidencias/security/ [4].</w:t>
      </w:r>
      <w:r>
        <w:br w:type="page"/>
      </w:r>
    </w:p>
    <w:p>
      <w:pPr>
        <w:pStyle w:val="Heading2"/>
        <w:spacing w:before="0" w:after="100"/>
        <w:rPr/>
      </w:pPr>
      <w:r>
        <w:rPr/>
        <w:t>4.7 SonarQube</w:t>
      </w:r>
    </w:p>
    <w:p>
      <w:pPr>
        <w:pStyle w:val="Normal"/>
        <w:rPr/>
      </w:pPr>
      <w:r>
        <w:rPr/>
        <w:t>SonarQube Community Build 26.9.0.129388 y SonarScanner CLI 7.1.0.4889 analizaron dos proyectos locales: frontend TypeScript/TSX y backend Rust. La edición disponible sí analizó Rust, importó cobertura y reportó un code smell sin instalar plugins externos. Clippy se ejecutó además como comprobación complementaria. No se enviaron dependencias generadas, secretos ni volúmenes [5].</w:t>
      </w:r>
    </w:p>
    <w:p>
      <w:pPr>
        <w:pStyle w:val="Normal"/>
        <w:rPr/>
      </w:pPr>
      <w:r>
        <w:rPr/>
        <w:t>El Quality Gate predeterminado Sonar way terminó PASS en ambos proyectos, sin rebajar condiciones. Durante el proceso, un análisis frontend falló porque la cobertura de código nuevo era 64.3%, inferior al 80% requerido. Se agregaron pruebas de GardenGraph; la medición posterior alcanzó 93.1% de código nuevo y el gate pasó. El backend registró 100% de cobertura nueva. Este caso muestra una corrección guiada por métricas, no una modificación del criterio para aceptar el resultado.</w:t>
      </w:r>
    </w:p>
    <w:p>
      <w:pPr>
        <w:pStyle w:val="Heading2"/>
        <w:rPr/>
      </w:pPr>
      <w:r>
        <w:rPr/>
        <w:t>4.8 Métricas de calidad</w:t>
      </w:r>
    </w:p>
    <w:p>
      <w:pPr>
        <w:pStyle w:val="Normal"/>
        <w:keepNext w:val="true"/>
        <w:rPr/>
      </w:pPr>
      <w:r>
        <w:rPr>
          <w:sz w:val="18"/>
        </w:rPr>
        <w:t>Tabla 8. SonarQube: estado final del corte ACT-03</w:t>
      </w:r>
    </w:p>
    <w:tbl>
      <w:tblPr>
        <w:tblW w:w="10224" w:type="dxa"/>
        <w:jc w:val="center"/>
        <w:tblInd w:w="0" w:type="dxa"/>
        <w:tblLayout w:type="fixed"/>
        <w:tblCellMar>
          <w:top w:w="35" w:type="dxa"/>
          <w:start w:w="55" w:type="dxa"/>
          <w:bottom w:w="35" w:type="dxa"/>
          <w:end w:w="55" w:type="dxa"/>
        </w:tblCellMar>
        <w:tblLook w:noHBand="0" w:noVBand="1" w:firstColumn="1" w:lastRow="0" w:lastColumn="0" w:firstRow="1" w:val="04a0"/>
      </w:tblPr>
      <w:tblGrid>
        <w:gridCol w:w="4752"/>
        <w:gridCol w:w="2736"/>
        <w:gridCol w:w="2736"/>
      </w:tblGrid>
      <w:tr>
        <w:trPr>
          <w:tblHeader w:val="true"/>
          <w:cantSplit/>
        </w:trPr>
        <w:tc>
          <w:tcPr>
            <w:tcW w:w="4752" w:type="dxa"/>
            <w:tcBorders/>
            <w:shd w:fill="19385F" w:val="clear"/>
            <w:vAlign w:val="center"/>
          </w:tcPr>
          <w:p>
            <w:pPr>
              <w:pStyle w:val="Normal"/>
              <w:spacing w:lineRule="auto" w:line="240" w:before="20" w:after="20"/>
              <w:rPr/>
            </w:pPr>
            <w:r>
              <w:rPr>
                <w:b/>
                <w:color w:val="FFFFFF"/>
                <w:sz w:val="20"/>
              </w:rPr>
              <w:t>Métrica</w:t>
            </w:r>
          </w:p>
        </w:tc>
        <w:tc>
          <w:tcPr>
            <w:tcW w:w="2736" w:type="dxa"/>
            <w:tcBorders/>
            <w:shd w:fill="19385F" w:val="clear"/>
            <w:vAlign w:val="center"/>
          </w:tcPr>
          <w:p>
            <w:pPr>
              <w:pStyle w:val="Normal"/>
              <w:spacing w:lineRule="auto" w:line="240" w:before="20" w:after="20"/>
              <w:rPr/>
            </w:pPr>
            <w:r>
              <w:rPr>
                <w:b/>
                <w:color w:val="FFFFFF"/>
                <w:sz w:val="20"/>
              </w:rPr>
              <w:t>Frontend</w:t>
            </w:r>
          </w:p>
        </w:tc>
        <w:tc>
          <w:tcPr>
            <w:tcW w:w="2736" w:type="dxa"/>
            <w:tcBorders/>
            <w:shd w:fill="19385F" w:val="clear"/>
            <w:vAlign w:val="center"/>
          </w:tcPr>
          <w:p>
            <w:pPr>
              <w:pStyle w:val="Normal"/>
              <w:spacing w:lineRule="auto" w:line="240" w:before="20" w:after="20"/>
              <w:rPr/>
            </w:pPr>
            <w:r>
              <w:rPr>
                <w:b/>
                <w:color w:val="FFFFFF"/>
                <w:sz w:val="20"/>
              </w:rPr>
              <w:t>Backend</w:t>
            </w:r>
          </w:p>
        </w:tc>
      </w:tr>
      <w:tr>
        <w:trPr>
          <w:cantSplit/>
        </w:trPr>
        <w:tc>
          <w:tcPr>
            <w:tcW w:w="4752" w:type="dxa"/>
            <w:tcBorders/>
            <w:shd w:fill="F0F4F8" w:val="clear"/>
            <w:vAlign w:val="center"/>
          </w:tcPr>
          <w:p>
            <w:pPr>
              <w:pStyle w:val="Normal"/>
              <w:spacing w:lineRule="auto" w:line="240" w:before="20" w:after="20"/>
              <w:rPr/>
            </w:pPr>
            <w:r>
              <w:rPr>
                <w:b w:val="false"/>
                <w:color w:val="243444"/>
                <w:sz w:val="20"/>
              </w:rPr>
              <w:t>Quality Gate</w:t>
            </w:r>
          </w:p>
        </w:tc>
        <w:tc>
          <w:tcPr>
            <w:tcW w:w="2736" w:type="dxa"/>
            <w:tcBorders/>
            <w:shd w:fill="F0F4F8" w:val="clear"/>
            <w:vAlign w:val="center"/>
          </w:tcPr>
          <w:p>
            <w:pPr>
              <w:pStyle w:val="Normal"/>
              <w:spacing w:lineRule="auto" w:line="240" w:before="20" w:after="20"/>
              <w:rPr/>
            </w:pPr>
            <w:r>
              <w:rPr>
                <w:b w:val="false"/>
                <w:color w:val="243444"/>
                <w:sz w:val="20"/>
              </w:rPr>
              <w:t>PASS</w:t>
            </w:r>
          </w:p>
        </w:tc>
        <w:tc>
          <w:tcPr>
            <w:tcW w:w="2736" w:type="dxa"/>
            <w:tcBorders/>
            <w:shd w:fill="F0F4F8" w:val="clear"/>
            <w:vAlign w:val="center"/>
          </w:tcPr>
          <w:p>
            <w:pPr>
              <w:pStyle w:val="Normal"/>
              <w:spacing w:lineRule="auto" w:line="240" w:before="20" w:after="20"/>
              <w:rPr/>
            </w:pPr>
            <w:r>
              <w:rPr>
                <w:b w:val="false"/>
                <w:color w:val="243444"/>
                <w:sz w:val="20"/>
              </w:rPr>
              <w:t>PASS</w:t>
            </w:r>
          </w:p>
        </w:tc>
      </w:tr>
      <w:tr>
        <w:trPr>
          <w:cantSplit/>
        </w:trPr>
        <w:tc>
          <w:tcPr>
            <w:tcW w:w="4752" w:type="dxa"/>
            <w:tcBorders/>
            <w:shd w:fill="FFFFFF" w:val="clear"/>
            <w:vAlign w:val="center"/>
          </w:tcPr>
          <w:p>
            <w:pPr>
              <w:pStyle w:val="Normal"/>
              <w:spacing w:lineRule="auto" w:line="240" w:before="20" w:after="20"/>
              <w:rPr/>
            </w:pPr>
            <w:r>
              <w:rPr>
                <w:b w:val="false"/>
                <w:color w:val="243444"/>
                <w:sz w:val="20"/>
              </w:rPr>
              <w:t>Bugs</w:t>
            </w:r>
          </w:p>
        </w:tc>
        <w:tc>
          <w:tcPr>
            <w:tcW w:w="2736" w:type="dxa"/>
            <w:tcBorders/>
            <w:shd w:fill="FFFFFF" w:val="clear"/>
            <w:vAlign w:val="center"/>
          </w:tcPr>
          <w:p>
            <w:pPr>
              <w:pStyle w:val="Normal"/>
              <w:spacing w:lineRule="auto" w:line="240" w:before="20" w:after="20"/>
              <w:rPr/>
            </w:pPr>
            <w:r>
              <w:rPr>
                <w:b w:val="false"/>
                <w:color w:val="243444"/>
                <w:sz w:val="20"/>
              </w:rPr>
              <w:t>0</w:t>
            </w:r>
          </w:p>
        </w:tc>
        <w:tc>
          <w:tcPr>
            <w:tcW w:w="2736" w:type="dxa"/>
            <w:tcBorders/>
            <w:shd w:fill="FFFFFF" w:val="clear"/>
            <w:vAlign w:val="center"/>
          </w:tcPr>
          <w:p>
            <w:pPr>
              <w:pStyle w:val="Normal"/>
              <w:spacing w:lineRule="auto" w:line="240" w:before="20" w:after="20"/>
              <w:rPr/>
            </w:pPr>
            <w:r>
              <w:rPr>
                <w:b w:val="false"/>
                <w:color w:val="243444"/>
                <w:sz w:val="20"/>
              </w:rPr>
              <w:t>0</w:t>
            </w:r>
          </w:p>
        </w:tc>
      </w:tr>
      <w:tr>
        <w:trPr>
          <w:cantSplit/>
        </w:trPr>
        <w:tc>
          <w:tcPr>
            <w:tcW w:w="4752" w:type="dxa"/>
            <w:tcBorders/>
            <w:shd w:fill="F0F4F8" w:val="clear"/>
            <w:vAlign w:val="center"/>
          </w:tcPr>
          <w:p>
            <w:pPr>
              <w:pStyle w:val="Normal"/>
              <w:spacing w:lineRule="auto" w:line="240" w:before="20" w:after="20"/>
              <w:rPr/>
            </w:pPr>
            <w:r>
              <w:rPr>
                <w:b w:val="false"/>
                <w:color w:val="243444"/>
                <w:sz w:val="20"/>
              </w:rPr>
              <w:t>Vulnerabilities</w:t>
            </w:r>
          </w:p>
        </w:tc>
        <w:tc>
          <w:tcPr>
            <w:tcW w:w="2736" w:type="dxa"/>
            <w:tcBorders/>
            <w:shd w:fill="F0F4F8" w:val="clear"/>
            <w:vAlign w:val="center"/>
          </w:tcPr>
          <w:p>
            <w:pPr>
              <w:pStyle w:val="Normal"/>
              <w:spacing w:lineRule="auto" w:line="240" w:before="20" w:after="20"/>
              <w:rPr/>
            </w:pPr>
            <w:r>
              <w:rPr>
                <w:b w:val="false"/>
                <w:color w:val="243444"/>
                <w:sz w:val="20"/>
              </w:rPr>
              <w:t>0</w:t>
            </w:r>
          </w:p>
        </w:tc>
        <w:tc>
          <w:tcPr>
            <w:tcW w:w="2736" w:type="dxa"/>
            <w:tcBorders/>
            <w:shd w:fill="F0F4F8" w:val="clear"/>
            <w:vAlign w:val="center"/>
          </w:tcPr>
          <w:p>
            <w:pPr>
              <w:pStyle w:val="Normal"/>
              <w:spacing w:lineRule="auto" w:line="240" w:before="20" w:after="20"/>
              <w:rPr/>
            </w:pPr>
            <w:r>
              <w:rPr>
                <w:b w:val="false"/>
                <w:color w:val="243444"/>
                <w:sz w:val="20"/>
              </w:rPr>
              <w:t>0</w:t>
            </w:r>
          </w:p>
        </w:tc>
      </w:tr>
      <w:tr>
        <w:trPr>
          <w:cantSplit/>
        </w:trPr>
        <w:tc>
          <w:tcPr>
            <w:tcW w:w="4752" w:type="dxa"/>
            <w:tcBorders/>
            <w:shd w:fill="FFFFFF" w:val="clear"/>
            <w:vAlign w:val="center"/>
          </w:tcPr>
          <w:p>
            <w:pPr>
              <w:pStyle w:val="Normal"/>
              <w:spacing w:lineRule="auto" w:line="240" w:before="20" w:after="20"/>
              <w:rPr/>
            </w:pPr>
            <w:r>
              <w:rPr>
                <w:b w:val="false"/>
                <w:color w:val="243444"/>
                <w:sz w:val="20"/>
              </w:rPr>
              <w:t>Security hotspots</w:t>
            </w:r>
          </w:p>
        </w:tc>
        <w:tc>
          <w:tcPr>
            <w:tcW w:w="2736" w:type="dxa"/>
            <w:tcBorders/>
            <w:shd w:fill="FFFFFF" w:val="clear"/>
            <w:vAlign w:val="center"/>
          </w:tcPr>
          <w:p>
            <w:pPr>
              <w:pStyle w:val="Normal"/>
              <w:spacing w:lineRule="auto" w:line="240" w:before="20" w:after="20"/>
              <w:rPr/>
            </w:pPr>
            <w:r>
              <w:rPr>
                <w:b w:val="false"/>
                <w:color w:val="243444"/>
                <w:sz w:val="20"/>
              </w:rPr>
              <w:t>0</w:t>
            </w:r>
          </w:p>
        </w:tc>
        <w:tc>
          <w:tcPr>
            <w:tcW w:w="2736" w:type="dxa"/>
            <w:tcBorders/>
            <w:shd w:fill="FFFFFF" w:val="clear"/>
            <w:vAlign w:val="center"/>
          </w:tcPr>
          <w:p>
            <w:pPr>
              <w:pStyle w:val="Normal"/>
              <w:spacing w:lineRule="auto" w:line="240" w:before="20" w:after="20"/>
              <w:rPr/>
            </w:pPr>
            <w:r>
              <w:rPr>
                <w:b w:val="false"/>
                <w:color w:val="243444"/>
                <w:sz w:val="20"/>
              </w:rPr>
              <w:t>0</w:t>
            </w:r>
          </w:p>
        </w:tc>
      </w:tr>
      <w:tr>
        <w:trPr>
          <w:cantSplit/>
        </w:trPr>
        <w:tc>
          <w:tcPr>
            <w:tcW w:w="4752" w:type="dxa"/>
            <w:tcBorders/>
            <w:shd w:fill="F0F4F8" w:val="clear"/>
            <w:vAlign w:val="center"/>
          </w:tcPr>
          <w:p>
            <w:pPr>
              <w:pStyle w:val="Normal"/>
              <w:spacing w:lineRule="auto" w:line="240" w:before="20" w:after="20"/>
              <w:rPr/>
            </w:pPr>
            <w:r>
              <w:rPr>
                <w:b w:val="false"/>
                <w:color w:val="243444"/>
                <w:sz w:val="20"/>
              </w:rPr>
              <w:t>Code smells activos</w:t>
            </w:r>
          </w:p>
        </w:tc>
        <w:tc>
          <w:tcPr>
            <w:tcW w:w="2736" w:type="dxa"/>
            <w:tcBorders/>
            <w:shd w:fill="F0F4F8" w:val="clear"/>
            <w:vAlign w:val="center"/>
          </w:tcPr>
          <w:p>
            <w:pPr>
              <w:pStyle w:val="Normal"/>
              <w:spacing w:lineRule="auto" w:line="240" w:before="20" w:after="20"/>
              <w:rPr/>
            </w:pPr>
            <w:r>
              <w:rPr>
                <w:b w:val="false"/>
                <w:color w:val="243444"/>
                <w:sz w:val="20"/>
              </w:rPr>
              <w:t>40</w:t>
            </w:r>
          </w:p>
        </w:tc>
        <w:tc>
          <w:tcPr>
            <w:tcW w:w="2736" w:type="dxa"/>
            <w:tcBorders/>
            <w:shd w:fill="F0F4F8" w:val="clear"/>
            <w:vAlign w:val="center"/>
          </w:tcPr>
          <w:p>
            <w:pPr>
              <w:pStyle w:val="Normal"/>
              <w:spacing w:lineRule="auto" w:line="240" w:before="20" w:after="20"/>
              <w:rPr/>
            </w:pPr>
            <w:r>
              <w:rPr>
                <w:b w:val="false"/>
                <w:color w:val="243444"/>
                <w:sz w:val="20"/>
              </w:rPr>
              <w:t>1</w:t>
            </w:r>
          </w:p>
        </w:tc>
      </w:tr>
      <w:tr>
        <w:trPr>
          <w:cantSplit/>
        </w:trPr>
        <w:tc>
          <w:tcPr>
            <w:tcW w:w="4752" w:type="dxa"/>
            <w:tcBorders/>
            <w:shd w:fill="FFFFFF" w:val="clear"/>
            <w:vAlign w:val="center"/>
          </w:tcPr>
          <w:p>
            <w:pPr>
              <w:pStyle w:val="Normal"/>
              <w:spacing w:lineRule="auto" w:line="240" w:before="20" w:after="20"/>
              <w:rPr/>
            </w:pPr>
            <w:r>
              <w:rPr>
                <w:b w:val="false"/>
                <w:color w:val="243444"/>
                <w:sz w:val="20"/>
              </w:rPr>
              <w:t>Cobertura total Sonar</w:t>
            </w:r>
          </w:p>
        </w:tc>
        <w:tc>
          <w:tcPr>
            <w:tcW w:w="2736" w:type="dxa"/>
            <w:tcBorders/>
            <w:shd w:fill="FFFFFF" w:val="clear"/>
            <w:vAlign w:val="center"/>
          </w:tcPr>
          <w:p>
            <w:pPr>
              <w:pStyle w:val="Normal"/>
              <w:spacing w:lineRule="auto" w:line="240" w:before="20" w:after="20"/>
              <w:rPr/>
            </w:pPr>
            <w:r>
              <w:rPr>
                <w:b w:val="false"/>
                <w:color w:val="243444"/>
                <w:sz w:val="20"/>
              </w:rPr>
              <w:t>77.8%</w:t>
            </w:r>
          </w:p>
        </w:tc>
        <w:tc>
          <w:tcPr>
            <w:tcW w:w="2736" w:type="dxa"/>
            <w:tcBorders/>
            <w:shd w:fill="FFFFFF" w:val="clear"/>
            <w:vAlign w:val="center"/>
          </w:tcPr>
          <w:p>
            <w:pPr>
              <w:pStyle w:val="Normal"/>
              <w:spacing w:lineRule="auto" w:line="240" w:before="20" w:after="20"/>
              <w:rPr/>
            </w:pPr>
            <w:r>
              <w:rPr>
                <w:b w:val="false"/>
                <w:color w:val="243444"/>
                <w:sz w:val="20"/>
              </w:rPr>
              <w:t>77.9%</w:t>
            </w:r>
          </w:p>
        </w:tc>
      </w:tr>
      <w:tr>
        <w:trPr>
          <w:cantSplit/>
        </w:trPr>
        <w:tc>
          <w:tcPr>
            <w:tcW w:w="4752" w:type="dxa"/>
            <w:tcBorders/>
            <w:shd w:fill="F0F4F8" w:val="clear"/>
            <w:vAlign w:val="center"/>
          </w:tcPr>
          <w:p>
            <w:pPr>
              <w:pStyle w:val="Normal"/>
              <w:spacing w:lineRule="auto" w:line="240" w:before="20" w:after="20"/>
              <w:rPr/>
            </w:pPr>
            <w:r>
              <w:rPr>
                <w:b w:val="false"/>
                <w:color w:val="243444"/>
                <w:sz w:val="20"/>
              </w:rPr>
              <w:t>Líneas duplicadas</w:t>
            </w:r>
          </w:p>
        </w:tc>
        <w:tc>
          <w:tcPr>
            <w:tcW w:w="2736" w:type="dxa"/>
            <w:tcBorders/>
            <w:shd w:fill="F0F4F8" w:val="clear"/>
            <w:vAlign w:val="center"/>
          </w:tcPr>
          <w:p>
            <w:pPr>
              <w:pStyle w:val="Normal"/>
              <w:spacing w:lineRule="auto" w:line="240" w:before="20" w:after="20"/>
              <w:rPr/>
            </w:pPr>
            <w:r>
              <w:rPr>
                <w:b w:val="false"/>
                <w:color w:val="243444"/>
                <w:sz w:val="20"/>
              </w:rPr>
              <w:t>0.0%</w:t>
            </w:r>
          </w:p>
        </w:tc>
        <w:tc>
          <w:tcPr>
            <w:tcW w:w="2736" w:type="dxa"/>
            <w:tcBorders/>
            <w:shd w:fill="F0F4F8" w:val="clear"/>
            <w:vAlign w:val="center"/>
          </w:tcPr>
          <w:p>
            <w:pPr>
              <w:pStyle w:val="Normal"/>
              <w:spacing w:lineRule="auto" w:line="240" w:before="20" w:after="20"/>
              <w:rPr/>
            </w:pPr>
            <w:r>
              <w:rPr>
                <w:b w:val="false"/>
                <w:color w:val="243444"/>
                <w:sz w:val="20"/>
              </w:rPr>
              <w:t>6.0%</w:t>
            </w:r>
          </w:p>
        </w:tc>
      </w:tr>
      <w:tr>
        <w:trPr>
          <w:cantSplit/>
        </w:trPr>
        <w:tc>
          <w:tcPr>
            <w:tcW w:w="4752" w:type="dxa"/>
            <w:tcBorders/>
            <w:shd w:fill="FFFFFF" w:val="clear"/>
            <w:vAlign w:val="center"/>
          </w:tcPr>
          <w:p>
            <w:pPr>
              <w:pStyle w:val="Normal"/>
              <w:spacing w:lineRule="auto" w:line="240" w:before="20" w:after="20"/>
              <w:rPr/>
            </w:pPr>
            <w:r>
              <w:rPr>
                <w:b w:val="false"/>
                <w:color w:val="243444"/>
                <w:sz w:val="20"/>
              </w:rPr>
              <w:t>Deuda técnica estimada</w:t>
            </w:r>
          </w:p>
        </w:tc>
        <w:tc>
          <w:tcPr>
            <w:tcW w:w="2736" w:type="dxa"/>
            <w:tcBorders/>
            <w:shd w:fill="FFFFFF" w:val="clear"/>
            <w:vAlign w:val="center"/>
          </w:tcPr>
          <w:p>
            <w:pPr>
              <w:pStyle w:val="Normal"/>
              <w:spacing w:lineRule="auto" w:line="240" w:before="20" w:after="20"/>
              <w:rPr/>
            </w:pPr>
            <w:r>
              <w:rPr>
                <w:b w:val="false"/>
                <w:color w:val="243444"/>
                <w:sz w:val="20"/>
              </w:rPr>
              <w:t>250 min</w:t>
            </w:r>
          </w:p>
        </w:tc>
        <w:tc>
          <w:tcPr>
            <w:tcW w:w="2736" w:type="dxa"/>
            <w:tcBorders/>
            <w:shd w:fill="FFFFFF" w:val="clear"/>
            <w:vAlign w:val="center"/>
          </w:tcPr>
          <w:p>
            <w:pPr>
              <w:pStyle w:val="Normal"/>
              <w:spacing w:lineRule="auto" w:line="240" w:before="20" w:after="20"/>
              <w:rPr/>
            </w:pPr>
            <w:r>
              <w:rPr>
                <w:b w:val="false"/>
                <w:color w:val="243444"/>
                <w:sz w:val="20"/>
              </w:rPr>
              <w:t>6 min</w:t>
            </w:r>
          </w:p>
        </w:tc>
      </w:tr>
      <w:tr>
        <w:trPr>
          <w:cantSplit/>
        </w:trPr>
        <w:tc>
          <w:tcPr>
            <w:tcW w:w="4752" w:type="dxa"/>
            <w:tcBorders/>
            <w:shd w:fill="F0F4F8" w:val="clear"/>
            <w:vAlign w:val="center"/>
          </w:tcPr>
          <w:p>
            <w:pPr>
              <w:pStyle w:val="Normal"/>
              <w:spacing w:lineRule="auto" w:line="240" w:before="20" w:after="20"/>
              <w:rPr/>
            </w:pPr>
            <w:r>
              <w:rPr>
                <w:b w:val="false"/>
                <w:color w:val="243444"/>
                <w:sz w:val="20"/>
              </w:rPr>
              <w:t>Mantenibilidad</w:t>
            </w:r>
          </w:p>
        </w:tc>
        <w:tc>
          <w:tcPr>
            <w:tcW w:w="2736" w:type="dxa"/>
            <w:tcBorders/>
            <w:shd w:fill="F0F4F8" w:val="clear"/>
            <w:vAlign w:val="center"/>
          </w:tcPr>
          <w:p>
            <w:pPr>
              <w:pStyle w:val="Normal"/>
              <w:spacing w:lineRule="auto" w:line="240" w:before="20" w:after="20"/>
              <w:rPr/>
            </w:pPr>
            <w:r>
              <w:rPr>
                <w:b w:val="false"/>
                <w:color w:val="243444"/>
                <w:sz w:val="20"/>
              </w:rPr>
              <w:t>A</w:t>
            </w:r>
          </w:p>
        </w:tc>
        <w:tc>
          <w:tcPr>
            <w:tcW w:w="2736" w:type="dxa"/>
            <w:tcBorders/>
            <w:shd w:fill="F0F4F8" w:val="clear"/>
            <w:vAlign w:val="center"/>
          </w:tcPr>
          <w:p>
            <w:pPr>
              <w:pStyle w:val="Normal"/>
              <w:spacing w:lineRule="auto" w:line="240" w:before="20" w:after="20"/>
              <w:rPr/>
            </w:pPr>
            <w:r>
              <w:rPr>
                <w:b w:val="false"/>
                <w:color w:val="243444"/>
                <w:sz w:val="20"/>
              </w:rPr>
              <w:t>A</w:t>
            </w:r>
          </w:p>
        </w:tc>
      </w:tr>
      <w:tr>
        <w:trPr>
          <w:cantSplit/>
        </w:trPr>
        <w:tc>
          <w:tcPr>
            <w:tcW w:w="4752" w:type="dxa"/>
            <w:tcBorders/>
            <w:shd w:fill="FFFFFF" w:val="clear"/>
            <w:vAlign w:val="center"/>
          </w:tcPr>
          <w:p>
            <w:pPr>
              <w:pStyle w:val="Normal"/>
              <w:spacing w:lineRule="auto" w:line="240" w:before="20" w:after="20"/>
              <w:rPr/>
            </w:pPr>
            <w:r>
              <w:rPr>
                <w:b w:val="false"/>
                <w:color w:val="243444"/>
                <w:sz w:val="20"/>
              </w:rPr>
              <w:t>Fiabilidad</w:t>
            </w:r>
          </w:p>
        </w:tc>
        <w:tc>
          <w:tcPr>
            <w:tcW w:w="2736" w:type="dxa"/>
            <w:tcBorders/>
            <w:shd w:fill="FFFFFF" w:val="clear"/>
            <w:vAlign w:val="center"/>
          </w:tcPr>
          <w:p>
            <w:pPr>
              <w:pStyle w:val="Normal"/>
              <w:spacing w:lineRule="auto" w:line="240" w:before="20" w:after="20"/>
              <w:rPr/>
            </w:pPr>
            <w:r>
              <w:rPr>
                <w:b w:val="false"/>
                <w:color w:val="243444"/>
                <w:sz w:val="20"/>
              </w:rPr>
              <w:t>A</w:t>
            </w:r>
          </w:p>
        </w:tc>
        <w:tc>
          <w:tcPr>
            <w:tcW w:w="2736" w:type="dxa"/>
            <w:tcBorders/>
            <w:shd w:fill="FFFFFF" w:val="clear"/>
            <w:vAlign w:val="center"/>
          </w:tcPr>
          <w:p>
            <w:pPr>
              <w:pStyle w:val="Normal"/>
              <w:spacing w:lineRule="auto" w:line="240" w:before="20" w:after="20"/>
              <w:rPr/>
            </w:pPr>
            <w:r>
              <w:rPr>
                <w:b w:val="false"/>
                <w:color w:val="243444"/>
                <w:sz w:val="20"/>
              </w:rPr>
              <w:t>A</w:t>
            </w:r>
          </w:p>
        </w:tc>
      </w:tr>
      <w:tr>
        <w:trPr>
          <w:cantSplit/>
        </w:trPr>
        <w:tc>
          <w:tcPr>
            <w:tcW w:w="4752" w:type="dxa"/>
            <w:tcBorders/>
            <w:shd w:fill="F0F4F8" w:val="clear"/>
            <w:vAlign w:val="center"/>
          </w:tcPr>
          <w:p>
            <w:pPr>
              <w:pStyle w:val="Normal"/>
              <w:spacing w:lineRule="auto" w:line="240" w:before="20" w:after="20"/>
              <w:rPr/>
            </w:pPr>
            <w:r>
              <w:rPr>
                <w:b w:val="false"/>
                <w:color w:val="243444"/>
                <w:sz w:val="20"/>
              </w:rPr>
              <w:t>Seguridad</w:t>
            </w:r>
          </w:p>
        </w:tc>
        <w:tc>
          <w:tcPr>
            <w:tcW w:w="2736" w:type="dxa"/>
            <w:tcBorders/>
            <w:shd w:fill="F0F4F8" w:val="clear"/>
            <w:vAlign w:val="center"/>
          </w:tcPr>
          <w:p>
            <w:pPr>
              <w:pStyle w:val="Normal"/>
              <w:spacing w:lineRule="auto" w:line="240" w:before="20" w:after="20"/>
              <w:rPr/>
            </w:pPr>
            <w:r>
              <w:rPr>
                <w:b w:val="false"/>
                <w:color w:val="243444"/>
                <w:sz w:val="20"/>
              </w:rPr>
              <w:t>A</w:t>
            </w:r>
          </w:p>
        </w:tc>
        <w:tc>
          <w:tcPr>
            <w:tcW w:w="2736" w:type="dxa"/>
            <w:tcBorders/>
            <w:shd w:fill="F0F4F8" w:val="clear"/>
            <w:vAlign w:val="center"/>
          </w:tcPr>
          <w:p>
            <w:pPr>
              <w:pStyle w:val="Normal"/>
              <w:spacing w:lineRule="auto" w:line="240" w:before="20" w:after="20"/>
              <w:rPr/>
            </w:pPr>
            <w:r>
              <w:rPr>
                <w:b w:val="false"/>
                <w:color w:val="243444"/>
                <w:sz w:val="20"/>
              </w:rPr>
              <w:t>A</w:t>
            </w:r>
          </w:p>
        </w:tc>
      </w:tr>
    </w:tbl>
    <w:p>
      <w:pPr>
        <w:pStyle w:val="Normal"/>
        <w:rPr/>
      </w:pPr>
      <w:r>
        <w:rPr/>
        <w:t>En frontend, los code smells activos descendieron de 46 a 40 y la deuda estimada de 291 a 250 minutos. Se extrajo lógica de deduplicación y formato de GardenGraph. El backend conserva un issue crítico rust:S3776 en seed.rs: complejidad 22 frente al umbral 15 y deuda estimada de 6 minutos. La deuda es una estimación de herramienta; no representa horas realmente trabajadas.</w:t>
      </w:r>
    </w:p>
    <w:p>
      <w:pPr>
        <w:pStyle w:val="Normal"/>
        <w:rPr/>
      </w:pPr>
      <w:r>
        <w:rPr/>
        <w:t>El gate usa condiciones de código nuevo; por eso PASS puede coexistir con cobertura total inferior a 80%. Sonar tampoco identificó el XSS comprobado en Chromium. Cero vulnerabilidades reportadas por el analizador no equivale a ausencia de vulnerabilidades en el sistema.</w:t>
      </w:r>
    </w:p>
    <w:p>
      <w:pPr>
        <w:pStyle w:val="Normal"/>
        <w:rPr/>
      </w:pPr>
      <w:r>
        <w:rPr/>
        <w:t>Estas cifras son históricas de ACT-03 y no un reanálisis del rediseño UI. La cobertura Jest final se presenta por separado en la sección 2.7. Los reportes originales preservan advertencias sobre una entrada LCOV Rust no resuelta y archivos sin blame; por ello se conservan los snapshots y no se atribuye precisión adicional a la clasificación de código nuevo.</w:t>
      </w:r>
    </w:p>
    <w:p>
      <w:pPr>
        <w:pStyle w:val="Normal"/>
        <w:rPr/>
      </w:pPr>
      <w:r>
        <w:rPr>
          <w:sz w:val="18"/>
        </w:rPr>
        <w:t>Evidencia: sonar-before/after-frontend.json y sonar-before/after-backend.json; resumen y condiciones del gate en docs/evidencias/quality/ [5].</w:t>
      </w:r>
      <w:r>
        <w:br w:type="page"/>
      </w:r>
    </w:p>
    <w:p>
      <w:pPr>
        <w:pStyle w:val="Heading1"/>
        <w:spacing w:before="0" w:after="100"/>
        <w:rPr/>
      </w:pPr>
      <w:r>
        <w:rPr/>
        <w:t>5. Validación funcional y experiencia de usuario</w:t>
      </w:r>
    </w:p>
    <w:p>
      <w:pPr>
        <w:pStyle w:val="Heading2"/>
        <w:rPr/>
      </w:pPr>
      <w:r>
        <w:rPr/>
        <w:t>5.1 Rediseño Red Verde Solidaria</w:t>
      </w:r>
    </w:p>
    <w:p>
      <w:pPr>
        <w:pStyle w:val="Normal"/>
        <w:rPr/>
      </w:pPr>
      <w:r>
        <w:rPr/>
        <w:t>La interfaz adoptó fondo claro, superficies blancas y acentos verdes. La jerarquía, el foco, los estados vacíos y el feedback facilitan interpretar acciones. Se validaron 1440, 1280, 768 y 390 px. Login y registro conservan los contratos existentes [6].</w:t>
      </w:r>
    </w:p>
    <w:p>
      <w:pPr>
        <w:pStyle w:val="Normal"/>
        <w:keepNext w:val="true"/>
        <w:spacing w:before="0" w:after="0"/>
        <w:jc w:val="center"/>
        <w:rPr/>
      </w:pPr>
      <w:r>
        <w:rPr/>
        <w:drawing>
          <wp:inline distT="0" distB="0" distL="0" distR="0">
            <wp:extent cx="5120640" cy="30473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120640" cy="3047365"/>
                    </a:xfrm>
                    <a:prstGeom prst="rect">
                      <a:avLst/>
                    </a:prstGeom>
                    <a:noFill/>
                  </pic:spPr>
                </pic:pic>
              </a:graphicData>
            </a:graphic>
          </wp:inline>
        </w:drawing>
      </w:r>
    </w:p>
    <w:p>
      <w:pPr>
        <w:pStyle w:val="Caption"/>
        <w:jc w:val="center"/>
        <w:rPr/>
      </w:pPr>
      <w:r>
        <w:rPr/>
        <w:t>Figura 1. Pantalla de acceso con la identidad visual final. Elaboración propia.</w:t>
      </w:r>
    </w:p>
    <w:p>
      <w:pPr>
        <w:pStyle w:val="Heading2"/>
        <w:rPr/>
      </w:pPr>
      <w:r>
        <w:rPr/>
        <w:t>5.2 Flujo Empresa</w:t>
      </w:r>
    </w:p>
    <w:p>
      <w:pPr>
        <w:pStyle w:val="Normal"/>
        <w:rPr/>
      </w:pPr>
      <w:r>
        <w:rPr/>
        <w:t>Empresa publica excedentes, consulta coincidencias y atiende solicitudes. Las tarjetas distinguen cantidad y estado; aprobación y salida permanecen como acciones separadas.</w:t>
      </w:r>
    </w:p>
    <w:p>
      <w:pPr>
        <w:pStyle w:val="Normal"/>
        <w:keepNext w:val="true"/>
        <w:spacing w:before="0" w:after="0"/>
        <w:jc w:val="center"/>
        <w:rPr/>
      </w:pPr>
      <w:r>
        <w:rPr/>
        <w:drawing>
          <wp:inline distT="0" distB="0" distL="0" distR="0">
            <wp:extent cx="5669280" cy="3373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669280" cy="3373755"/>
                    </a:xfrm>
                    <a:prstGeom prst="rect">
                      <a:avLst/>
                    </a:prstGeom>
                    <a:noFill/>
                  </pic:spPr>
                </pic:pic>
              </a:graphicData>
            </a:graphic>
          </wp:inline>
        </w:drawing>
      </w:r>
    </w:p>
    <w:p>
      <w:pPr>
        <w:pStyle w:val="Caption"/>
        <w:jc w:val="center"/>
        <w:rPr/>
      </w:pPr>
      <w:r>
        <w:rPr/>
        <w:t>Figura 2. Dashboard Empresa con formulario, inventario y contadores. Elaboración propia.</w:t>
      </w:r>
      <w:r>
        <w:br w:type="page"/>
      </w:r>
    </w:p>
    <w:p>
      <w:pPr>
        <w:pStyle w:val="Heading2"/>
        <w:spacing w:before="0" w:after="100"/>
        <w:rPr/>
      </w:pPr>
      <w:r>
        <w:rPr/>
        <w:t>5.3 Flujo ONG</w:t>
      </w:r>
    </w:p>
    <w:p>
      <w:pPr>
        <w:pStyle w:val="Normal"/>
        <w:rPr/>
      </w:pPr>
      <w:r>
        <w:rPr/>
        <w:t>La ONG verificada explora donaciones y solicita un lote. Sus solicitudes y entregas aparecen por estado; el recorrido probado concluyó tanto en recepción como en rechazo con motivo.</w:t>
      </w:r>
    </w:p>
    <w:p>
      <w:pPr>
        <w:pStyle w:val="Normal"/>
        <w:keepNext w:val="true"/>
        <w:spacing w:before="0" w:after="0"/>
        <w:jc w:val="center"/>
        <w:rPr/>
      </w:pPr>
      <w:r>
        <w:rPr/>
        <w:drawing>
          <wp:inline distT="0" distB="0" distL="0" distR="0">
            <wp:extent cx="5669280" cy="33737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669280" cy="3373755"/>
                    </a:xfrm>
                    <a:prstGeom prst="rect">
                      <a:avLst/>
                    </a:prstGeom>
                    <a:noFill/>
                  </pic:spPr>
                </pic:pic>
              </a:graphicData>
            </a:graphic>
          </wp:inline>
        </w:drawing>
      </w:r>
    </w:p>
    <w:p>
      <w:pPr>
        <w:pStyle w:val="Caption"/>
        <w:jc w:val="center"/>
        <w:rPr/>
      </w:pPr>
      <w:r>
        <w:rPr/>
        <w:t>Figura 3. Dashboard ONG con donaciones disponibles y solicitudes propias. Elaboración propia.</w:t>
      </w:r>
    </w:p>
    <w:p>
      <w:pPr>
        <w:pStyle w:val="Heading2"/>
        <w:rPr/>
      </w:pPr>
      <w:r>
        <w:rPr/>
        <w:t>5.4 Administración</w:t>
      </w:r>
    </w:p>
    <w:p>
      <w:pPr>
        <w:pStyle w:val="Normal"/>
        <w:rPr/>
      </w:pPr>
      <w:r>
        <w:rPr/>
        <w:t>Administración lista organizaciones, distingue verificadas y pendientes y permite verificar o revocar con feedback. Ambas acciones se probaron con cuentas locales; Admin y CEO permanecen fuera del registro público.</w:t>
      </w:r>
    </w:p>
    <w:p>
      <w:pPr>
        <w:pStyle w:val="Normal"/>
        <w:keepNext w:val="true"/>
        <w:spacing w:before="0" w:after="0"/>
        <w:jc w:val="center"/>
        <w:rPr/>
      </w:pPr>
      <w:r>
        <w:rPr/>
        <w:drawing>
          <wp:inline distT="0" distB="0" distL="0" distR="0">
            <wp:extent cx="5669280" cy="3373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669280" cy="3373755"/>
                    </a:xfrm>
                    <a:prstGeom prst="rect">
                      <a:avLst/>
                    </a:prstGeom>
                    <a:noFill/>
                  </pic:spPr>
                </pic:pic>
              </a:graphicData>
            </a:graphic>
          </wp:inline>
        </w:drawing>
      </w:r>
    </w:p>
    <w:p>
      <w:pPr>
        <w:pStyle w:val="Caption"/>
        <w:jc w:val="center"/>
        <w:rPr/>
      </w:pPr>
      <w:r>
        <w:rPr/>
        <w:t>Figura 4. Vista administrativa de verificación de organizaciones. Elaboración propia.</w:t>
      </w:r>
      <w:r>
        <w:br w:type="page"/>
      </w:r>
    </w:p>
    <w:p>
      <w:pPr>
        <w:pStyle w:val="Heading2"/>
        <w:spacing w:before="0" w:after="100"/>
        <w:rPr/>
      </w:pPr>
      <w:r>
        <w:rPr/>
        <w:t>5.5 Shipments</w:t>
      </w:r>
    </w:p>
    <w:p>
      <w:pPr>
        <w:pStyle w:val="Normal"/>
        <w:rPr/>
      </w:pPr>
      <w:r>
        <w:rPr/>
        <w:t>Las columnas Solicitadas, Listas para salida, En camino y Finalizadas separan cada etapa. Aprobar, registrar salida, entregar y rechazar se validaron con servicios reales. El rechazo exige motivo y confirma el resultado.</w:t>
      </w:r>
    </w:p>
    <w:p>
      <w:pPr>
        <w:pStyle w:val="Normal"/>
        <w:keepNext w:val="true"/>
        <w:spacing w:before="0" w:after="0"/>
        <w:jc w:val="center"/>
        <w:rPr/>
      </w:pPr>
      <w:r>
        <w:rPr/>
        <w:drawing>
          <wp:inline distT="0" distB="0" distL="0" distR="0">
            <wp:extent cx="5669280" cy="33737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669280" cy="3373755"/>
                    </a:xfrm>
                    <a:prstGeom prst="rect">
                      <a:avLst/>
                    </a:prstGeom>
                    <a:noFill/>
                  </pic:spPr>
                </pic:pic>
              </a:graphicData>
            </a:graphic>
          </wp:inline>
        </w:drawing>
      </w:r>
    </w:p>
    <w:p>
      <w:pPr>
        <w:pStyle w:val="Caption"/>
        <w:jc w:val="center"/>
        <w:rPr/>
      </w:pPr>
      <w:r>
        <w:rPr/>
        <w:t>Figura 5. Donaciones aprobadas y listas para registrar su salida física. Elaboración propia.</w:t>
      </w:r>
    </w:p>
    <w:p>
      <w:pPr>
        <w:pStyle w:val="Heading2"/>
        <w:rPr/>
      </w:pPr>
      <w:r>
        <w:rPr/>
        <w:t>5.6 Mapa y geolocalización</w:t>
      </w:r>
    </w:p>
    <w:p>
      <w:pPr>
        <w:pStyle w:val="Normal"/>
        <w:rPr/>
      </w:pPr>
      <w:r>
        <w:rPr/>
        <w:t>El punto fijo de Veracruz se identifica como almacén demo. Usuario azul, almacén ámbar y ONG verde tienen significados distintos. Sin permiso no existe marcador personal; las líneas son conexiones de referencia, no rutas GPS.</w:t>
      </w:r>
    </w:p>
    <w:p>
      <w:pPr>
        <w:pStyle w:val="Normal"/>
        <w:keepNext w:val="true"/>
        <w:spacing w:before="0" w:after="0"/>
        <w:jc w:val="center"/>
        <w:rPr/>
      </w:pPr>
      <w:r>
        <w:rPr/>
        <w:drawing>
          <wp:inline distT="0" distB="0" distL="0" distR="0">
            <wp:extent cx="5669280" cy="33737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669280" cy="3373755"/>
                    </a:xfrm>
                    <a:prstGeom prst="rect">
                      <a:avLst/>
                    </a:prstGeom>
                    <a:noFill/>
                  </pic:spPr>
                </pic:pic>
              </a:graphicData>
            </a:graphic>
          </wp:inline>
        </w:drawing>
      </w:r>
    </w:p>
    <w:p>
      <w:pPr>
        <w:pStyle w:val="Caption"/>
        <w:jc w:val="center"/>
        <w:rPr/>
      </w:pPr>
      <w:r>
        <w:rPr/>
        <w:t>Figura 6. Permiso de ubicación denegado y popup del almacén demo. Elaboración propia.</w:t>
      </w:r>
      <w:r>
        <w:br w:type="page"/>
      </w:r>
    </w:p>
    <w:p>
      <w:pPr>
        <w:pStyle w:val="Heading2"/>
        <w:spacing w:before="0" w:after="100"/>
        <w:rPr/>
      </w:pPr>
      <w:r>
        <w:rPr/>
        <w:t>5.7 Panel CEO</w:t>
      </w:r>
    </w:p>
    <w:p>
      <w:pPr>
        <w:pStyle w:val="Normal"/>
        <w:rPr/>
      </w:pPr>
      <w:r>
        <w:rPr/>
        <w:t>El panel muestra donaciones completadas, avance e indicadores existentes de CO₂e y beneficiarios. Las cifras estimadas se etiquetan y advierten que sus unidades y metodología requieren validación. La prueba de renderizado y consulta no certifica su exactitud ambiental o social.</w:t>
      </w:r>
    </w:p>
    <w:p>
      <w:pPr>
        <w:pStyle w:val="Normal"/>
        <w:keepNext w:val="true"/>
        <w:spacing w:before="0" w:after="0"/>
        <w:jc w:val="center"/>
        <w:rPr/>
      </w:pPr>
      <w:r>
        <w:rPr/>
        <w:drawing>
          <wp:inline distT="0" distB="0" distL="0" distR="0">
            <wp:extent cx="5669280" cy="33737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669280" cy="3373755"/>
                    </a:xfrm>
                    <a:prstGeom prst="rect">
                      <a:avLst/>
                    </a:prstGeom>
                    <a:noFill/>
                  </pic:spPr>
                </pic:pic>
              </a:graphicData>
            </a:graphic>
          </wp:inline>
        </w:drawing>
      </w:r>
    </w:p>
    <w:p>
      <w:pPr>
        <w:pStyle w:val="Caption"/>
        <w:jc w:val="center"/>
        <w:rPr/>
      </w:pPr>
      <w:r>
        <w:rPr/>
        <w:t>Figura 7. Panel CEO con indicadores y advertencia explícita sobre estimaciones. Elaboración propia.</w:t>
      </w:r>
    </w:p>
    <w:p>
      <w:pPr>
        <w:pStyle w:val="Normal"/>
        <w:keepNext w:val="true"/>
        <w:rPr/>
      </w:pPr>
      <w:r>
        <w:rPr>
          <w:sz w:val="18"/>
        </w:rPr>
        <w:t>Tabla 9. Recorrido funcional documentado en navegador</w:t>
      </w:r>
    </w:p>
    <w:tbl>
      <w:tblPr>
        <w:tblW w:w="10224" w:type="dxa"/>
        <w:jc w:val="center"/>
        <w:tblInd w:w="0" w:type="dxa"/>
        <w:tblLayout w:type="fixed"/>
        <w:tblCellMar>
          <w:top w:w="35" w:type="dxa"/>
          <w:start w:w="55" w:type="dxa"/>
          <w:bottom w:w="35" w:type="dxa"/>
          <w:end w:w="55" w:type="dxa"/>
        </w:tblCellMar>
        <w:tblLook w:noHBand="0" w:noVBand="1" w:firstColumn="1" w:lastRow="0" w:lastColumn="0" w:firstRow="1" w:val="04a0"/>
      </w:tblPr>
      <w:tblGrid>
        <w:gridCol w:w="2086"/>
        <w:gridCol w:w="6840"/>
        <w:gridCol w:w="1298"/>
      </w:tblGrid>
      <w:tr>
        <w:trPr>
          <w:tblHeader w:val="true"/>
          <w:cantSplit/>
        </w:trPr>
        <w:tc>
          <w:tcPr>
            <w:tcW w:w="2086" w:type="dxa"/>
            <w:tcBorders/>
            <w:shd w:fill="19385F" w:val="clear"/>
            <w:vAlign w:val="center"/>
          </w:tcPr>
          <w:p>
            <w:pPr>
              <w:pStyle w:val="Normal"/>
              <w:spacing w:lineRule="auto" w:line="240" w:before="20" w:after="20"/>
              <w:rPr/>
            </w:pPr>
            <w:r>
              <w:rPr>
                <w:b/>
                <w:color w:val="FFFFFF"/>
                <w:sz w:val="18"/>
              </w:rPr>
              <w:t>Grupo</w:t>
            </w:r>
          </w:p>
        </w:tc>
        <w:tc>
          <w:tcPr>
            <w:tcW w:w="6840" w:type="dxa"/>
            <w:tcBorders/>
            <w:shd w:fill="19385F" w:val="clear"/>
            <w:vAlign w:val="center"/>
          </w:tcPr>
          <w:p>
            <w:pPr>
              <w:pStyle w:val="Normal"/>
              <w:spacing w:lineRule="auto" w:line="240" w:before="20" w:after="20"/>
              <w:rPr/>
            </w:pPr>
            <w:r>
              <w:rPr>
                <w:b/>
                <w:color w:val="FFFFFF"/>
                <w:sz w:val="18"/>
              </w:rPr>
              <w:t>Operaciones comprobadas</w:t>
            </w:r>
          </w:p>
        </w:tc>
        <w:tc>
          <w:tcPr>
            <w:tcW w:w="1298" w:type="dxa"/>
            <w:tcBorders/>
            <w:shd w:fill="19385F" w:val="clear"/>
            <w:vAlign w:val="center"/>
          </w:tcPr>
          <w:p>
            <w:pPr>
              <w:pStyle w:val="Normal"/>
              <w:spacing w:lineRule="auto" w:line="240" w:before="20" w:after="20"/>
              <w:rPr/>
            </w:pPr>
            <w:r>
              <w:rPr>
                <w:b/>
                <w:color w:val="FFFFFF"/>
                <w:sz w:val="18"/>
              </w:rPr>
              <w:t>Resultado</w:t>
            </w:r>
          </w:p>
        </w:tc>
      </w:tr>
      <w:tr>
        <w:trPr>
          <w:cantSplit/>
        </w:trPr>
        <w:tc>
          <w:tcPr>
            <w:tcW w:w="2086" w:type="dxa"/>
            <w:tcBorders/>
            <w:shd w:fill="F0F4F8" w:val="clear"/>
            <w:vAlign w:val="center"/>
          </w:tcPr>
          <w:p>
            <w:pPr>
              <w:pStyle w:val="Normal"/>
              <w:spacing w:lineRule="auto" w:line="240" w:before="20" w:after="20"/>
              <w:rPr/>
            </w:pPr>
            <w:r>
              <w:rPr>
                <w:b w:val="false"/>
                <w:color w:val="243444"/>
                <w:sz w:val="18"/>
              </w:rPr>
              <w:t>Identidad</w:t>
            </w:r>
          </w:p>
        </w:tc>
        <w:tc>
          <w:tcPr>
            <w:tcW w:w="6840" w:type="dxa"/>
            <w:tcBorders/>
            <w:shd w:fill="F0F4F8" w:val="clear"/>
            <w:vAlign w:val="center"/>
          </w:tcPr>
          <w:p>
            <w:pPr>
              <w:pStyle w:val="Normal"/>
              <w:spacing w:lineRule="auto" w:line="240" w:before="20" w:after="20"/>
              <w:rPr/>
            </w:pPr>
            <w:r>
              <w:rPr>
                <w:b w:val="false"/>
                <w:color w:val="243444"/>
                <w:sz w:val="18"/>
              </w:rPr>
              <w:t>Login, registro Empresa/ONG y logout.</w:t>
            </w:r>
          </w:p>
        </w:tc>
        <w:tc>
          <w:tcPr>
            <w:tcW w:w="1298" w:type="dxa"/>
            <w:tcBorders/>
            <w:shd w:fill="F0F4F8" w:val="clear"/>
            <w:vAlign w:val="center"/>
          </w:tcPr>
          <w:p>
            <w:pPr>
              <w:pStyle w:val="Normal"/>
              <w:spacing w:lineRule="auto" w:line="240" w:before="20" w:after="20"/>
              <w:rPr/>
            </w:pPr>
            <w:r>
              <w:rPr>
                <w:b w:val="false"/>
                <w:color w:val="243444"/>
                <w:sz w:val="18"/>
              </w:rPr>
              <w:t>PASS</w:t>
            </w:r>
          </w:p>
        </w:tc>
      </w:tr>
      <w:tr>
        <w:trPr>
          <w:cantSplit/>
        </w:trPr>
        <w:tc>
          <w:tcPr>
            <w:tcW w:w="2086" w:type="dxa"/>
            <w:tcBorders/>
            <w:shd w:fill="FFFFFF" w:val="clear"/>
            <w:vAlign w:val="center"/>
          </w:tcPr>
          <w:p>
            <w:pPr>
              <w:pStyle w:val="Normal"/>
              <w:spacing w:lineRule="auto" w:line="240" w:before="20" w:after="20"/>
              <w:rPr/>
            </w:pPr>
            <w:r>
              <w:rPr>
                <w:b w:val="false"/>
                <w:color w:val="243444"/>
                <w:sz w:val="18"/>
              </w:rPr>
              <w:t>Donaciones</w:t>
            </w:r>
          </w:p>
        </w:tc>
        <w:tc>
          <w:tcPr>
            <w:tcW w:w="6840" w:type="dxa"/>
            <w:tcBorders/>
            <w:shd w:fill="FFFFFF" w:val="clear"/>
            <w:vAlign w:val="center"/>
          </w:tcPr>
          <w:p>
            <w:pPr>
              <w:pStyle w:val="Normal"/>
              <w:spacing w:lineRule="auto" w:line="240" w:before="20" w:after="20"/>
              <w:rPr/>
            </w:pPr>
            <w:r>
              <w:rPr>
                <w:b w:val="false"/>
                <w:color w:val="243444"/>
                <w:sz w:val="18"/>
              </w:rPr>
              <w:t>Crear, matching, solicitar, aprobar y registrar salida.</w:t>
            </w:r>
          </w:p>
        </w:tc>
        <w:tc>
          <w:tcPr>
            <w:tcW w:w="1298" w:type="dxa"/>
            <w:tcBorders/>
            <w:shd w:fill="FFFFFF" w:val="clear"/>
            <w:vAlign w:val="center"/>
          </w:tcPr>
          <w:p>
            <w:pPr>
              <w:pStyle w:val="Normal"/>
              <w:spacing w:lineRule="auto" w:line="240" w:before="20" w:after="20"/>
              <w:rPr/>
            </w:pPr>
            <w:r>
              <w:rPr>
                <w:b w:val="false"/>
                <w:color w:val="243444"/>
                <w:sz w:val="18"/>
              </w:rPr>
              <w:t>PASS</w:t>
            </w:r>
          </w:p>
        </w:tc>
      </w:tr>
      <w:tr>
        <w:trPr>
          <w:cantSplit/>
        </w:trPr>
        <w:tc>
          <w:tcPr>
            <w:tcW w:w="2086" w:type="dxa"/>
            <w:tcBorders/>
            <w:shd w:fill="F0F4F8" w:val="clear"/>
            <w:vAlign w:val="center"/>
          </w:tcPr>
          <w:p>
            <w:pPr>
              <w:pStyle w:val="Normal"/>
              <w:spacing w:lineRule="auto" w:line="240" w:before="20" w:after="20"/>
              <w:rPr/>
            </w:pPr>
            <w:r>
              <w:rPr>
                <w:b w:val="false"/>
                <w:color w:val="243444"/>
                <w:sz w:val="18"/>
              </w:rPr>
              <w:t>Recepción</w:t>
            </w:r>
          </w:p>
        </w:tc>
        <w:tc>
          <w:tcPr>
            <w:tcW w:w="6840" w:type="dxa"/>
            <w:tcBorders/>
            <w:shd w:fill="F0F4F8" w:val="clear"/>
            <w:vAlign w:val="center"/>
          </w:tcPr>
          <w:p>
            <w:pPr>
              <w:pStyle w:val="Normal"/>
              <w:spacing w:lineRule="auto" w:line="240" w:before="20" w:after="20"/>
              <w:rPr/>
            </w:pPr>
            <w:r>
              <w:rPr>
                <w:b w:val="false"/>
                <w:color w:val="243444"/>
                <w:sz w:val="18"/>
              </w:rPr>
              <w:t>Entregar y rechazar con motivo.</w:t>
            </w:r>
          </w:p>
        </w:tc>
        <w:tc>
          <w:tcPr>
            <w:tcW w:w="1298" w:type="dxa"/>
            <w:tcBorders/>
            <w:shd w:fill="F0F4F8" w:val="clear"/>
            <w:vAlign w:val="center"/>
          </w:tcPr>
          <w:p>
            <w:pPr>
              <w:pStyle w:val="Normal"/>
              <w:spacing w:lineRule="auto" w:line="240" w:before="20" w:after="20"/>
              <w:rPr/>
            </w:pPr>
            <w:r>
              <w:rPr>
                <w:b w:val="false"/>
                <w:color w:val="243444"/>
                <w:sz w:val="18"/>
              </w:rPr>
              <w:t>PASS</w:t>
            </w:r>
          </w:p>
        </w:tc>
      </w:tr>
      <w:tr>
        <w:trPr>
          <w:cantSplit/>
        </w:trPr>
        <w:tc>
          <w:tcPr>
            <w:tcW w:w="2086" w:type="dxa"/>
            <w:tcBorders/>
            <w:shd w:fill="FFFFFF" w:val="clear"/>
            <w:vAlign w:val="center"/>
          </w:tcPr>
          <w:p>
            <w:pPr>
              <w:pStyle w:val="Normal"/>
              <w:spacing w:lineRule="auto" w:line="240" w:before="20" w:after="20"/>
              <w:rPr/>
            </w:pPr>
            <w:r>
              <w:rPr>
                <w:b w:val="false"/>
                <w:color w:val="243444"/>
                <w:sz w:val="18"/>
              </w:rPr>
              <w:t>Administración</w:t>
            </w:r>
          </w:p>
        </w:tc>
        <w:tc>
          <w:tcPr>
            <w:tcW w:w="6840" w:type="dxa"/>
            <w:tcBorders/>
            <w:shd w:fill="FFFFFF" w:val="clear"/>
            <w:vAlign w:val="center"/>
          </w:tcPr>
          <w:p>
            <w:pPr>
              <w:pStyle w:val="Normal"/>
              <w:spacing w:lineRule="auto" w:line="240" w:before="20" w:after="20"/>
              <w:rPr/>
            </w:pPr>
            <w:r>
              <w:rPr>
                <w:b w:val="false"/>
                <w:color w:val="243444"/>
                <w:sz w:val="18"/>
              </w:rPr>
              <w:t>Listar ONG, verificar y revocar.</w:t>
            </w:r>
          </w:p>
        </w:tc>
        <w:tc>
          <w:tcPr>
            <w:tcW w:w="1298" w:type="dxa"/>
            <w:tcBorders/>
            <w:shd w:fill="FFFFFF" w:val="clear"/>
            <w:vAlign w:val="center"/>
          </w:tcPr>
          <w:p>
            <w:pPr>
              <w:pStyle w:val="Normal"/>
              <w:spacing w:lineRule="auto" w:line="240" w:before="20" w:after="20"/>
              <w:rPr/>
            </w:pPr>
            <w:r>
              <w:rPr>
                <w:b w:val="false"/>
                <w:color w:val="243444"/>
                <w:sz w:val="18"/>
              </w:rPr>
              <w:t>PASS</w:t>
            </w:r>
          </w:p>
        </w:tc>
      </w:tr>
      <w:tr>
        <w:trPr>
          <w:cantSplit/>
        </w:trPr>
        <w:tc>
          <w:tcPr>
            <w:tcW w:w="2086" w:type="dxa"/>
            <w:tcBorders/>
            <w:shd w:fill="F0F4F8" w:val="clear"/>
            <w:vAlign w:val="center"/>
          </w:tcPr>
          <w:p>
            <w:pPr>
              <w:pStyle w:val="Normal"/>
              <w:spacing w:lineRule="auto" w:line="240" w:before="20" w:after="20"/>
              <w:rPr/>
            </w:pPr>
            <w:r>
              <w:rPr>
                <w:b w:val="false"/>
                <w:color w:val="243444"/>
                <w:sz w:val="18"/>
              </w:rPr>
              <w:t>Mapa</w:t>
            </w:r>
          </w:p>
        </w:tc>
        <w:tc>
          <w:tcPr>
            <w:tcW w:w="6840" w:type="dxa"/>
            <w:tcBorders/>
            <w:shd w:fill="F0F4F8" w:val="clear"/>
            <w:vAlign w:val="center"/>
          </w:tcPr>
          <w:p>
            <w:pPr>
              <w:pStyle w:val="Normal"/>
              <w:spacing w:lineRule="auto" w:line="240" w:before="20" w:after="20"/>
              <w:rPr/>
            </w:pPr>
            <w:r>
              <w:rPr>
                <w:b w:val="false"/>
                <w:color w:val="243444"/>
                <w:sz w:val="18"/>
              </w:rPr>
              <w:t>Renderizado, marcadores, popup y ubicación denegada.</w:t>
            </w:r>
          </w:p>
        </w:tc>
        <w:tc>
          <w:tcPr>
            <w:tcW w:w="1298" w:type="dxa"/>
            <w:tcBorders/>
            <w:shd w:fill="F0F4F8" w:val="clear"/>
            <w:vAlign w:val="center"/>
          </w:tcPr>
          <w:p>
            <w:pPr>
              <w:pStyle w:val="Normal"/>
              <w:spacing w:lineRule="auto" w:line="240" w:before="20" w:after="20"/>
              <w:rPr/>
            </w:pPr>
            <w:r>
              <w:rPr>
                <w:b w:val="false"/>
                <w:color w:val="243444"/>
                <w:sz w:val="18"/>
              </w:rPr>
              <w:t>PASS</w:t>
            </w:r>
          </w:p>
        </w:tc>
      </w:tr>
      <w:tr>
        <w:trPr>
          <w:cantSplit/>
        </w:trPr>
        <w:tc>
          <w:tcPr>
            <w:tcW w:w="2086" w:type="dxa"/>
            <w:tcBorders/>
            <w:shd w:fill="FFFFFF" w:val="clear"/>
            <w:vAlign w:val="center"/>
          </w:tcPr>
          <w:p>
            <w:pPr>
              <w:pStyle w:val="Normal"/>
              <w:spacing w:lineRule="auto" w:line="240" w:before="20" w:after="20"/>
              <w:rPr/>
            </w:pPr>
            <w:r>
              <w:rPr>
                <w:b w:val="false"/>
                <w:color w:val="243444"/>
                <w:sz w:val="18"/>
              </w:rPr>
              <w:t>Ubicación concedida</w:t>
            </w:r>
          </w:p>
        </w:tc>
        <w:tc>
          <w:tcPr>
            <w:tcW w:w="6840" w:type="dxa"/>
            <w:tcBorders/>
            <w:shd w:fill="FFFFFF" w:val="clear"/>
            <w:vAlign w:val="center"/>
          </w:tcPr>
          <w:p>
            <w:pPr>
              <w:pStyle w:val="Normal"/>
              <w:spacing w:lineRule="auto" w:line="240" w:before="20" w:after="20"/>
              <w:rPr/>
            </w:pPr>
            <w:r>
              <w:rPr>
                <w:b w:val="false"/>
                <w:color w:val="243444"/>
                <w:sz w:val="18"/>
              </w:rPr>
              <w:t>Coordenadas simuladas mediante el navegador.</w:t>
            </w:r>
          </w:p>
        </w:tc>
        <w:tc>
          <w:tcPr>
            <w:tcW w:w="1298" w:type="dxa"/>
            <w:tcBorders/>
            <w:shd w:fill="FFFFFF" w:val="clear"/>
            <w:vAlign w:val="center"/>
          </w:tcPr>
          <w:p>
            <w:pPr>
              <w:pStyle w:val="Normal"/>
              <w:spacing w:lineRule="auto" w:line="240" w:before="20" w:after="20"/>
              <w:rPr/>
            </w:pPr>
            <w:r>
              <w:rPr>
                <w:b w:val="false"/>
                <w:color w:val="243444"/>
                <w:sz w:val="18"/>
              </w:rPr>
              <w:t>PASS</w:t>
            </w:r>
          </w:p>
        </w:tc>
      </w:tr>
      <w:tr>
        <w:trPr>
          <w:cantSplit/>
        </w:trPr>
        <w:tc>
          <w:tcPr>
            <w:tcW w:w="2086" w:type="dxa"/>
            <w:tcBorders/>
            <w:shd w:fill="F0F4F8" w:val="clear"/>
            <w:vAlign w:val="center"/>
          </w:tcPr>
          <w:p>
            <w:pPr>
              <w:pStyle w:val="Normal"/>
              <w:spacing w:lineRule="auto" w:line="240" w:before="20" w:after="20"/>
              <w:rPr/>
            </w:pPr>
            <w:r>
              <w:rPr>
                <w:b w:val="false"/>
                <w:color w:val="243444"/>
                <w:sz w:val="18"/>
              </w:rPr>
              <w:t>Presentación</w:t>
            </w:r>
          </w:p>
        </w:tc>
        <w:tc>
          <w:tcPr>
            <w:tcW w:w="6840" w:type="dxa"/>
            <w:tcBorders/>
            <w:shd w:fill="F0F4F8" w:val="clear"/>
            <w:vAlign w:val="center"/>
          </w:tcPr>
          <w:p>
            <w:pPr>
              <w:pStyle w:val="Normal"/>
              <w:spacing w:lineRule="auto" w:line="240" w:before="20" w:after="20"/>
              <w:rPr/>
            </w:pPr>
            <w:r>
              <w:rPr>
                <w:b w:val="false"/>
                <w:color w:val="243444"/>
                <w:sz w:val="18"/>
              </w:rPr>
              <w:t>CEO y navegación móvil.</w:t>
            </w:r>
          </w:p>
        </w:tc>
        <w:tc>
          <w:tcPr>
            <w:tcW w:w="1298" w:type="dxa"/>
            <w:tcBorders/>
            <w:shd w:fill="F0F4F8" w:val="clear"/>
            <w:vAlign w:val="center"/>
          </w:tcPr>
          <w:p>
            <w:pPr>
              <w:pStyle w:val="Normal"/>
              <w:spacing w:lineRule="auto" w:line="240" w:before="20" w:after="20"/>
              <w:rPr/>
            </w:pPr>
            <w:r>
              <w:rPr>
                <w:b w:val="false"/>
                <w:color w:val="243444"/>
                <w:sz w:val="18"/>
              </w:rPr>
              <w:t>PASS</w:t>
            </w:r>
          </w:p>
        </w:tc>
      </w:tr>
    </w:tbl>
    <w:p>
      <w:pPr>
        <w:pStyle w:val="Normal"/>
        <w:rPr/>
      </w:pPr>
      <w:r>
        <w:rPr/>
        <w:t>El JSON conserva 19 comprobaciones PASS. El caso concedido valida el tratamiento de coordenadas proporcionadas por navigator.geolocation mediante simulación; no es una medición GPS física. La ubicación de ONG procede de los datos registrados y no acredita precisión independiente. Las siete figuras seleccionadas pertenecen a FERXARP y mantienen su proporción original.</w:t>
      </w:r>
    </w:p>
    <w:p>
      <w:pPr>
        <w:pStyle w:val="Normal"/>
        <w:rPr/>
      </w:pPr>
      <w:r>
        <w:rPr/>
        <w:t>El smoke de UI-01 complementa los tests, pero no equivale a una suite E2E completa integrada en CI ni a una evaluación de usabilidad con usuarios externos. Las capturas restantes y los resultados están en docs/evidencias/ui/ [6].</w:t>
      </w:r>
      <w:r>
        <w:br w:type="page"/>
      </w:r>
    </w:p>
    <w:p>
      <w:pPr>
        <w:pStyle w:val="Heading1"/>
        <w:spacing w:before="0" w:after="100"/>
        <w:rPr/>
      </w:pPr>
      <w:r>
        <w:rPr/>
        <w:t>6. Cierre del proyecto</w:t>
      </w:r>
    </w:p>
    <w:p>
      <w:pPr>
        <w:pStyle w:val="Heading2"/>
        <w:rPr/>
      </w:pPr>
      <w:r>
        <w:rPr/>
        <w:t>6.1 Planificado vs ejecutado</w:t>
      </w:r>
    </w:p>
    <w:p>
      <w:pPr>
        <w:pStyle w:val="Normal"/>
        <w:rPr/>
      </w:pPr>
      <w:r>
        <w:rPr/>
        <w:t>La documentación inicial organiza el trabajo en cuatro rótulos semanales: datos/core, frontend/identidad, logística/mapa y seguridad/orquestación. No contiene fechas base suficientes para cuantificar desviaciones en días. La comparación se limita a alcance, secuencia, hitos y resultados verificables [7].</w:t>
      </w:r>
    </w:p>
    <w:p>
      <w:pPr>
        <w:pStyle w:val="Normal"/>
        <w:keepNext w:val="true"/>
        <w:rPr/>
      </w:pPr>
      <w:r>
        <w:rPr>
          <w:sz w:val="18"/>
        </w:rPr>
        <w:t>Tabla 10. Comparación de alcance</w:t>
      </w:r>
    </w:p>
    <w:tbl>
      <w:tblPr>
        <w:tblW w:w="10224" w:type="dxa"/>
        <w:jc w:val="center"/>
        <w:tblInd w:w="0" w:type="dxa"/>
        <w:tblLayout w:type="fixed"/>
        <w:tblCellMar>
          <w:top w:w="35" w:type="dxa"/>
          <w:start w:w="55" w:type="dxa"/>
          <w:bottom w:w="35" w:type="dxa"/>
          <w:end w:w="55" w:type="dxa"/>
        </w:tblCellMar>
        <w:tblLook w:noHBand="0" w:noVBand="1" w:firstColumn="1" w:lastRow="0" w:lastColumn="0" w:firstRow="1" w:val="04a0"/>
      </w:tblPr>
      <w:tblGrid>
        <w:gridCol w:w="2160"/>
        <w:gridCol w:w="3670"/>
        <w:gridCol w:w="4394"/>
      </w:tblGrid>
      <w:tr>
        <w:trPr>
          <w:tblHeader w:val="true"/>
          <w:cantSplit/>
        </w:trPr>
        <w:tc>
          <w:tcPr>
            <w:tcW w:w="2160" w:type="dxa"/>
            <w:tcBorders/>
            <w:shd w:fill="19385F" w:val="clear"/>
            <w:vAlign w:val="center"/>
          </w:tcPr>
          <w:p>
            <w:pPr>
              <w:pStyle w:val="Normal"/>
              <w:spacing w:lineRule="auto" w:line="240" w:before="20" w:after="20"/>
              <w:rPr/>
            </w:pPr>
            <w:r>
              <w:rPr>
                <w:b/>
                <w:color w:val="FFFFFF"/>
                <w:sz w:val="18"/>
              </w:rPr>
              <w:t>Elemento planificado</w:t>
            </w:r>
          </w:p>
        </w:tc>
        <w:tc>
          <w:tcPr>
            <w:tcW w:w="3670" w:type="dxa"/>
            <w:tcBorders/>
            <w:shd w:fill="19385F" w:val="clear"/>
            <w:vAlign w:val="center"/>
          </w:tcPr>
          <w:p>
            <w:pPr>
              <w:pStyle w:val="Normal"/>
              <w:spacing w:lineRule="auto" w:line="240" w:before="20" w:after="20"/>
              <w:rPr/>
            </w:pPr>
            <w:r>
              <w:rPr>
                <w:b/>
                <w:color w:val="FFFFFF"/>
                <w:sz w:val="18"/>
              </w:rPr>
              <w:t>Ejecución / diferencia</w:t>
            </w:r>
          </w:p>
        </w:tc>
        <w:tc>
          <w:tcPr>
            <w:tcW w:w="4394" w:type="dxa"/>
            <w:tcBorders/>
            <w:shd w:fill="19385F" w:val="clear"/>
            <w:vAlign w:val="center"/>
          </w:tcPr>
          <w:p>
            <w:pPr>
              <w:pStyle w:val="Normal"/>
              <w:spacing w:lineRule="auto" w:line="240" w:before="20" w:after="20"/>
              <w:rPr/>
            </w:pPr>
            <w:r>
              <w:rPr>
                <w:b/>
                <w:color w:val="FFFFFF"/>
                <w:sz w:val="18"/>
              </w:rPr>
              <w:t>Motivo e impacto verificable</w:t>
            </w:r>
          </w:p>
        </w:tc>
      </w:tr>
      <w:tr>
        <w:trPr>
          <w:cantSplit/>
        </w:trPr>
        <w:tc>
          <w:tcPr>
            <w:tcW w:w="2160" w:type="dxa"/>
            <w:tcBorders/>
            <w:shd w:fill="F0F4F8" w:val="clear"/>
            <w:vAlign w:val="center"/>
          </w:tcPr>
          <w:p>
            <w:pPr>
              <w:pStyle w:val="Normal"/>
              <w:spacing w:lineRule="auto" w:line="240" w:before="20" w:after="20"/>
              <w:rPr/>
            </w:pPr>
            <w:r>
              <w:rPr>
                <w:b w:val="false"/>
                <w:color w:val="243444"/>
                <w:sz w:val="18"/>
              </w:rPr>
              <w:t>Datos y scoring</w:t>
            </w:r>
          </w:p>
        </w:tc>
        <w:tc>
          <w:tcPr>
            <w:tcW w:w="3670" w:type="dxa"/>
            <w:tcBorders/>
            <w:shd w:fill="F0F4F8" w:val="clear"/>
            <w:vAlign w:val="center"/>
          </w:tcPr>
          <w:p>
            <w:pPr>
              <w:pStyle w:val="Normal"/>
              <w:spacing w:lineRule="auto" w:line="240" w:before="20" w:after="20"/>
              <w:rPr/>
            </w:pPr>
            <w:r>
              <w:rPr>
                <w:b w:val="false"/>
                <w:color w:val="243444"/>
                <w:sz w:val="18"/>
              </w:rPr>
              <w:t>Ampliado con migraciones, SQLx y reindexación.</w:t>
            </w:r>
          </w:p>
        </w:tc>
        <w:tc>
          <w:tcPr>
            <w:tcW w:w="4394" w:type="dxa"/>
            <w:tcBorders/>
            <w:shd w:fill="F0F4F8" w:val="clear"/>
            <w:vAlign w:val="center"/>
          </w:tcPr>
          <w:p>
            <w:pPr>
              <w:pStyle w:val="Normal"/>
              <w:spacing w:lineRule="auto" w:line="240" w:before="20" w:after="20"/>
              <w:rPr/>
            </w:pPr>
            <w:r>
              <w:rPr>
                <w:b w:val="false"/>
                <w:color w:val="243444"/>
                <w:sz w:val="18"/>
              </w:rPr>
              <w:t>Baseline reproducible; Chroma derivado de PostgreSQL.</w:t>
            </w:r>
          </w:p>
        </w:tc>
      </w:tr>
      <w:tr>
        <w:trPr>
          <w:cantSplit/>
        </w:trPr>
        <w:tc>
          <w:tcPr>
            <w:tcW w:w="2160" w:type="dxa"/>
            <w:tcBorders/>
            <w:shd w:fill="FFFFFF" w:val="clear"/>
            <w:vAlign w:val="center"/>
          </w:tcPr>
          <w:p>
            <w:pPr>
              <w:pStyle w:val="Normal"/>
              <w:spacing w:lineRule="auto" w:line="240" w:before="20" w:after="20"/>
              <w:rPr/>
            </w:pPr>
            <w:r>
              <w:rPr>
                <w:b w:val="false"/>
                <w:color w:val="243444"/>
                <w:sz w:val="18"/>
              </w:rPr>
              <w:t>Identidad y vistas</w:t>
            </w:r>
          </w:p>
        </w:tc>
        <w:tc>
          <w:tcPr>
            <w:tcW w:w="3670" w:type="dxa"/>
            <w:tcBorders/>
            <w:shd w:fill="FFFFFF" w:val="clear"/>
            <w:vAlign w:val="center"/>
          </w:tcPr>
          <w:p>
            <w:pPr>
              <w:pStyle w:val="Normal"/>
              <w:spacing w:lineRule="auto" w:line="240" w:before="20" w:after="20"/>
              <w:rPr/>
            </w:pPr>
            <w:r>
              <w:rPr>
                <w:b w:val="false"/>
                <w:color w:val="243444"/>
                <w:sz w:val="18"/>
              </w:rPr>
              <w:t>Cuatro roles, RBAC y bootstrap Admin.</w:t>
            </w:r>
          </w:p>
        </w:tc>
        <w:tc>
          <w:tcPr>
            <w:tcW w:w="4394" w:type="dxa"/>
            <w:tcBorders/>
            <w:shd w:fill="FFFFFF" w:val="clear"/>
            <w:vAlign w:val="center"/>
          </w:tcPr>
          <w:p>
            <w:pPr>
              <w:pStyle w:val="Normal"/>
              <w:spacing w:lineRule="auto" w:line="240" w:before="20" w:after="20"/>
              <w:rPr/>
            </w:pPr>
            <w:r>
              <w:rPr>
                <w:b w:val="false"/>
                <w:color w:val="243444"/>
                <w:sz w:val="18"/>
              </w:rPr>
              <w:t>Registro privilegiado separado; control de propiedad.</w:t>
            </w:r>
          </w:p>
        </w:tc>
      </w:tr>
      <w:tr>
        <w:trPr>
          <w:cantSplit/>
        </w:trPr>
        <w:tc>
          <w:tcPr>
            <w:tcW w:w="2160" w:type="dxa"/>
            <w:tcBorders/>
            <w:shd w:fill="F0F4F8" w:val="clear"/>
            <w:vAlign w:val="center"/>
          </w:tcPr>
          <w:p>
            <w:pPr>
              <w:pStyle w:val="Normal"/>
              <w:spacing w:lineRule="auto" w:line="240" w:before="20" w:after="20"/>
              <w:rPr/>
            </w:pPr>
            <w:r>
              <w:rPr>
                <w:b w:val="false"/>
                <w:color w:val="243444"/>
                <w:sz w:val="18"/>
              </w:rPr>
              <w:t>Logística y mapa</w:t>
            </w:r>
          </w:p>
        </w:tc>
        <w:tc>
          <w:tcPr>
            <w:tcW w:w="3670" w:type="dxa"/>
            <w:tcBorders/>
            <w:shd w:fill="F0F4F8" w:val="clear"/>
            <w:vAlign w:val="center"/>
          </w:tcPr>
          <w:p>
            <w:pPr>
              <w:pStyle w:val="Normal"/>
              <w:spacing w:lineRule="auto" w:line="240" w:before="20" w:after="20"/>
              <w:rPr/>
            </w:pPr>
            <w:r>
              <w:rPr>
                <w:b w:val="false"/>
                <w:color w:val="243444"/>
                <w:sz w:val="18"/>
              </w:rPr>
              <w:t>Aprobación separada de salida; UI final.</w:t>
            </w:r>
          </w:p>
        </w:tc>
        <w:tc>
          <w:tcPr>
            <w:tcW w:w="4394" w:type="dxa"/>
            <w:tcBorders/>
            <w:shd w:fill="F0F4F8" w:val="clear"/>
            <w:vAlign w:val="center"/>
          </w:tcPr>
          <w:p>
            <w:pPr>
              <w:pStyle w:val="Normal"/>
              <w:spacing w:lineRule="auto" w:line="240" w:before="20" w:after="20"/>
              <w:rPr/>
            </w:pPr>
            <w:r>
              <w:rPr>
                <w:b w:val="false"/>
                <w:color w:val="243444"/>
                <w:sz w:val="18"/>
              </w:rPr>
              <w:t>Corrección del lifecycle y de la semántica de ubicación.</w:t>
            </w:r>
          </w:p>
        </w:tc>
      </w:tr>
      <w:tr>
        <w:trPr>
          <w:cantSplit/>
        </w:trPr>
        <w:tc>
          <w:tcPr>
            <w:tcW w:w="2160" w:type="dxa"/>
            <w:tcBorders/>
            <w:shd w:fill="FFFFFF" w:val="clear"/>
            <w:vAlign w:val="center"/>
          </w:tcPr>
          <w:p>
            <w:pPr>
              <w:pStyle w:val="Normal"/>
              <w:spacing w:lineRule="auto" w:line="240" w:before="20" w:after="20"/>
              <w:rPr/>
            </w:pPr>
            <w:r>
              <w:rPr>
                <w:b w:val="false"/>
                <w:color w:val="243444"/>
                <w:sz w:val="18"/>
              </w:rPr>
              <w:t>Pruebas y CI/CD</w:t>
            </w:r>
          </w:p>
        </w:tc>
        <w:tc>
          <w:tcPr>
            <w:tcW w:w="3670" w:type="dxa"/>
            <w:tcBorders/>
            <w:shd w:fill="FFFFFF" w:val="clear"/>
            <w:vAlign w:val="center"/>
          </w:tcPr>
          <w:p>
            <w:pPr>
              <w:pStyle w:val="Normal"/>
              <w:spacing w:lineRule="auto" w:line="240" w:before="20" w:after="20"/>
              <w:rPr/>
            </w:pPr>
            <w:r>
              <w:rPr>
                <w:b w:val="false"/>
                <w:color w:val="243444"/>
                <w:sz w:val="18"/>
              </w:rPr>
              <w:t>Cobertura, builds y deploy-test remoto.</w:t>
            </w:r>
          </w:p>
        </w:tc>
        <w:tc>
          <w:tcPr>
            <w:tcW w:w="4394" w:type="dxa"/>
            <w:tcBorders/>
            <w:shd w:fill="FFFFFF" w:val="clear"/>
            <w:vAlign w:val="center"/>
          </w:tcPr>
          <w:p>
            <w:pPr>
              <w:pStyle w:val="Normal"/>
              <w:spacing w:lineRule="auto" w:line="240" w:before="20" w:after="20"/>
              <w:rPr/>
            </w:pPr>
            <w:r>
              <w:rPr>
                <w:b w:val="false"/>
                <w:color w:val="243444"/>
                <w:sz w:val="18"/>
              </w:rPr>
              <w:t>Evidencia automatizada y smoke con limpieza.</w:t>
            </w:r>
          </w:p>
        </w:tc>
      </w:tr>
      <w:tr>
        <w:trPr>
          <w:cantSplit/>
        </w:trPr>
        <w:tc>
          <w:tcPr>
            <w:tcW w:w="2160" w:type="dxa"/>
            <w:tcBorders/>
            <w:shd w:fill="F0F4F8" w:val="clear"/>
            <w:vAlign w:val="center"/>
          </w:tcPr>
          <w:p>
            <w:pPr>
              <w:pStyle w:val="Normal"/>
              <w:spacing w:lineRule="auto" w:line="240" w:before="20" w:after="20"/>
              <w:rPr/>
            </w:pPr>
            <w:r>
              <w:rPr>
                <w:b w:val="false"/>
                <w:color w:val="243444"/>
                <w:sz w:val="18"/>
              </w:rPr>
              <w:t>Seguridad/calidad</w:t>
            </w:r>
          </w:p>
        </w:tc>
        <w:tc>
          <w:tcPr>
            <w:tcW w:w="3670" w:type="dxa"/>
            <w:tcBorders/>
            <w:shd w:fill="F0F4F8" w:val="clear"/>
            <w:vAlign w:val="center"/>
          </w:tcPr>
          <w:p>
            <w:pPr>
              <w:pStyle w:val="Normal"/>
              <w:spacing w:lineRule="auto" w:line="240" w:before="20" w:after="20"/>
              <w:rPr/>
            </w:pPr>
            <w:r>
              <w:rPr>
                <w:b w:val="false"/>
                <w:color w:val="243444"/>
                <w:sz w:val="18"/>
              </w:rPr>
              <w:t>ZAP, XSS en navegador y Sonar.</w:t>
            </w:r>
          </w:p>
        </w:tc>
        <w:tc>
          <w:tcPr>
            <w:tcW w:w="4394" w:type="dxa"/>
            <w:tcBorders/>
            <w:shd w:fill="F0F4F8" w:val="clear"/>
            <w:vAlign w:val="center"/>
          </w:tcPr>
          <w:p>
            <w:pPr>
              <w:pStyle w:val="Normal"/>
              <w:spacing w:lineRule="auto" w:line="240" w:before="20" w:after="20"/>
              <w:rPr/>
            </w:pPr>
            <w:r>
              <w:rPr>
                <w:b w:val="false"/>
                <w:color w:val="243444"/>
                <w:sz w:val="18"/>
              </w:rPr>
              <w:t>Correcciones verificadas; CSP residual explícita.</w:t>
            </w:r>
          </w:p>
        </w:tc>
      </w:tr>
      <w:tr>
        <w:trPr>
          <w:cantSplit/>
        </w:trPr>
        <w:tc>
          <w:tcPr>
            <w:tcW w:w="2160" w:type="dxa"/>
            <w:tcBorders/>
            <w:shd w:fill="FFFFFF" w:val="clear"/>
            <w:vAlign w:val="center"/>
          </w:tcPr>
          <w:p>
            <w:pPr>
              <w:pStyle w:val="Normal"/>
              <w:spacing w:lineRule="auto" w:line="240" w:before="20" w:after="20"/>
              <w:rPr/>
            </w:pPr>
            <w:r>
              <w:rPr>
                <w:b w:val="false"/>
                <w:color w:val="243444"/>
                <w:sz w:val="18"/>
              </w:rPr>
              <w:t>IA e impacto</w:t>
            </w:r>
          </w:p>
        </w:tc>
        <w:tc>
          <w:tcPr>
            <w:tcW w:w="3670" w:type="dxa"/>
            <w:tcBorders/>
            <w:shd w:fill="FFFFFF" w:val="clear"/>
            <w:vAlign w:val="center"/>
          </w:tcPr>
          <w:p>
            <w:pPr>
              <w:pStyle w:val="Normal"/>
              <w:spacing w:lineRule="auto" w:line="240" w:before="20" w:after="20"/>
              <w:rPr/>
            </w:pPr>
            <w:r>
              <w:rPr>
                <w:b w:val="false"/>
                <w:color w:val="243444"/>
                <w:sz w:val="18"/>
              </w:rPr>
              <w:t>Groq opcional; CEO con estimaciones.</w:t>
            </w:r>
          </w:p>
        </w:tc>
        <w:tc>
          <w:tcPr>
            <w:tcW w:w="4394" w:type="dxa"/>
            <w:tcBorders/>
            <w:shd w:fill="FFFFFF" w:val="clear"/>
            <w:vAlign w:val="center"/>
          </w:tcPr>
          <w:p>
            <w:pPr>
              <w:pStyle w:val="Normal"/>
              <w:spacing w:lineRule="auto" w:line="240" w:before="20" w:after="20"/>
              <w:rPr/>
            </w:pPr>
            <w:r>
              <w:rPr>
                <w:b w:val="false"/>
                <w:color w:val="243444"/>
                <w:sz w:val="18"/>
              </w:rPr>
              <w:t>Validación y hardening pendientes, sin simular precisión.</w:t>
            </w:r>
          </w:p>
        </w:tc>
      </w:tr>
    </w:tbl>
    <w:p>
      <w:pPr>
        <w:pStyle w:val="Heading2"/>
        <w:rPr/>
      </w:pPr>
      <w:r>
        <w:rPr/>
        <w:t>6.2 Cronología</w:t>
      </w:r>
    </w:p>
    <w:p>
      <w:pPr>
        <w:pStyle w:val="Normal"/>
        <w:rPr/>
      </w:pPr>
      <w:r>
        <w:rPr>
          <w:sz w:val="18"/>
        </w:rPr>
        <w:t>Las fechas siguientes son fechas de autor registradas en Git; no duraciones de trabajo ni compromisos de calendario.</w:t>
      </w:r>
    </w:p>
    <w:p>
      <w:pPr>
        <w:pStyle w:val="Normal"/>
        <w:keepNext w:val="true"/>
        <w:rPr/>
      </w:pPr>
      <w:r>
        <w:rPr>
          <w:sz w:val="18"/>
        </w:rPr>
        <w:t>Tabla 11. Hitos comprobables del repositorio</w:t>
      </w:r>
    </w:p>
    <w:tbl>
      <w:tblPr>
        <w:tblW w:w="10224" w:type="dxa"/>
        <w:jc w:val="center"/>
        <w:tblInd w:w="0" w:type="dxa"/>
        <w:tblLayout w:type="fixed"/>
        <w:tblCellMar>
          <w:top w:w="35" w:type="dxa"/>
          <w:start w:w="55" w:type="dxa"/>
          <w:bottom w:w="35" w:type="dxa"/>
          <w:end w:w="55" w:type="dxa"/>
        </w:tblCellMar>
        <w:tblLook w:noHBand="0" w:noVBand="1" w:firstColumn="1" w:lastRow="0" w:lastColumn="0" w:firstRow="1" w:val="04a0"/>
      </w:tblPr>
      <w:tblGrid>
        <w:gridCol w:w="1582"/>
        <w:gridCol w:w="2450"/>
        <w:gridCol w:w="6192"/>
      </w:tblGrid>
      <w:tr>
        <w:trPr>
          <w:tblHeader w:val="true"/>
          <w:cantSplit/>
        </w:trPr>
        <w:tc>
          <w:tcPr>
            <w:tcW w:w="1582" w:type="dxa"/>
            <w:tcBorders/>
            <w:shd w:fill="19385F" w:val="clear"/>
            <w:vAlign w:val="center"/>
          </w:tcPr>
          <w:p>
            <w:pPr>
              <w:pStyle w:val="Normal"/>
              <w:spacing w:lineRule="auto" w:line="240" w:before="20" w:after="20"/>
              <w:rPr/>
            </w:pPr>
            <w:r>
              <w:rPr>
                <w:b/>
                <w:color w:val="FFFFFF"/>
                <w:sz w:val="17"/>
              </w:rPr>
              <w:t>Fecha</w:t>
            </w:r>
          </w:p>
        </w:tc>
        <w:tc>
          <w:tcPr>
            <w:tcW w:w="2450" w:type="dxa"/>
            <w:tcBorders/>
            <w:shd w:fill="19385F" w:val="clear"/>
            <w:vAlign w:val="center"/>
          </w:tcPr>
          <w:p>
            <w:pPr>
              <w:pStyle w:val="Normal"/>
              <w:spacing w:lineRule="auto" w:line="240" w:before="20" w:after="20"/>
              <w:rPr/>
            </w:pPr>
            <w:r>
              <w:rPr>
                <w:b/>
                <w:color w:val="FFFFFF"/>
                <w:sz w:val="17"/>
              </w:rPr>
              <w:t>Commit</w:t>
            </w:r>
          </w:p>
        </w:tc>
        <w:tc>
          <w:tcPr>
            <w:tcW w:w="6192" w:type="dxa"/>
            <w:tcBorders/>
            <w:shd w:fill="19385F" w:val="clear"/>
            <w:vAlign w:val="center"/>
          </w:tcPr>
          <w:p>
            <w:pPr>
              <w:pStyle w:val="Normal"/>
              <w:spacing w:lineRule="auto" w:line="240" w:before="20" w:after="20"/>
              <w:rPr/>
            </w:pPr>
            <w:r>
              <w:rPr>
                <w:b/>
                <w:color w:val="FFFFFF"/>
                <w:sz w:val="17"/>
              </w:rPr>
              <w:t>Objetivo y resultado</w:t>
            </w:r>
          </w:p>
        </w:tc>
      </w:tr>
      <w:tr>
        <w:trPr>
          <w:cantSplit/>
        </w:trPr>
        <w:tc>
          <w:tcPr>
            <w:tcW w:w="1582" w:type="dxa"/>
            <w:tcBorders/>
            <w:shd w:fill="F0F4F8" w:val="clear"/>
            <w:vAlign w:val="center"/>
          </w:tcPr>
          <w:p>
            <w:pPr>
              <w:pStyle w:val="Normal"/>
              <w:spacing w:lineRule="auto" w:line="240" w:before="20" w:after="20"/>
              <w:rPr/>
            </w:pPr>
            <w:r>
              <w:rPr>
                <w:b w:val="false"/>
                <w:color w:val="243444"/>
                <w:sz w:val="17"/>
              </w:rPr>
              <w:t>21-09-2026</w:t>
            </w:r>
          </w:p>
        </w:tc>
        <w:tc>
          <w:tcPr>
            <w:tcW w:w="2450" w:type="dxa"/>
            <w:tcBorders/>
            <w:shd w:fill="F0F4F8" w:val="clear"/>
            <w:vAlign w:val="center"/>
          </w:tcPr>
          <w:p>
            <w:pPr>
              <w:pStyle w:val="Normal"/>
              <w:spacing w:lineRule="auto" w:line="240" w:before="20" w:after="20"/>
              <w:rPr/>
            </w:pPr>
            <w:r>
              <w:rPr>
                <w:b w:val="false"/>
                <w:color w:val="243444"/>
                <w:sz w:val="17"/>
              </w:rPr>
              <w:t>bd3842b</w:t>
            </w:r>
          </w:p>
        </w:tc>
        <w:tc>
          <w:tcPr>
            <w:tcW w:w="6192" w:type="dxa"/>
            <w:tcBorders/>
            <w:shd w:fill="F0F4F8" w:val="clear"/>
            <w:vAlign w:val="center"/>
          </w:tcPr>
          <w:p>
            <w:pPr>
              <w:pStyle w:val="Normal"/>
              <w:spacing w:lineRule="auto" w:line="240" w:before="20" w:after="20"/>
              <w:rPr/>
            </w:pPr>
            <w:r>
              <w:rPr>
                <w:b w:val="false"/>
                <w:color w:val="243444"/>
                <w:sz w:val="17"/>
              </w:rPr>
              <w:t>Base del monorepo y modelos Rust.</w:t>
            </w:r>
          </w:p>
        </w:tc>
      </w:tr>
      <w:tr>
        <w:trPr>
          <w:cantSplit/>
        </w:trPr>
        <w:tc>
          <w:tcPr>
            <w:tcW w:w="1582" w:type="dxa"/>
            <w:tcBorders/>
            <w:shd w:fill="FFFFFF" w:val="clear"/>
            <w:vAlign w:val="center"/>
          </w:tcPr>
          <w:p>
            <w:pPr>
              <w:pStyle w:val="Normal"/>
              <w:spacing w:lineRule="auto" w:line="240" w:before="20" w:after="20"/>
              <w:rPr/>
            </w:pPr>
            <w:r>
              <w:rPr>
                <w:b w:val="false"/>
                <w:color w:val="243444"/>
                <w:sz w:val="17"/>
              </w:rPr>
              <w:t>23-09-2026</w:t>
            </w:r>
          </w:p>
        </w:tc>
        <w:tc>
          <w:tcPr>
            <w:tcW w:w="2450" w:type="dxa"/>
            <w:tcBorders/>
            <w:shd w:fill="FFFFFF" w:val="clear"/>
            <w:vAlign w:val="center"/>
          </w:tcPr>
          <w:p>
            <w:pPr>
              <w:pStyle w:val="Normal"/>
              <w:spacing w:lineRule="auto" w:line="240" w:before="20" w:after="20"/>
              <w:rPr/>
            </w:pPr>
            <w:r>
              <w:rPr>
                <w:b w:val="false"/>
                <w:color w:val="243444"/>
                <w:sz w:val="17"/>
              </w:rPr>
              <w:t>da4c2f7 / f5e6c55</w:t>
            </w:r>
          </w:p>
        </w:tc>
        <w:tc>
          <w:tcPr>
            <w:tcW w:w="6192" w:type="dxa"/>
            <w:tcBorders/>
            <w:shd w:fill="FFFFFF" w:val="clear"/>
            <w:vAlign w:val="center"/>
          </w:tcPr>
          <w:p>
            <w:pPr>
              <w:pStyle w:val="Normal"/>
              <w:spacing w:lineRule="auto" w:line="240" w:before="20" w:after="20"/>
              <w:rPr/>
            </w:pPr>
            <w:r>
              <w:rPr>
                <w:b w:val="false"/>
                <w:color w:val="243444"/>
                <w:sz w:val="17"/>
              </w:rPr>
              <w:t>Logística, Chroma y narrativa inicial de fases.</w:t>
            </w:r>
          </w:p>
        </w:tc>
      </w:tr>
      <w:tr>
        <w:trPr>
          <w:cantSplit/>
        </w:trPr>
        <w:tc>
          <w:tcPr>
            <w:tcW w:w="1582" w:type="dxa"/>
            <w:tcBorders/>
            <w:shd w:fill="F0F4F8" w:val="clear"/>
            <w:vAlign w:val="center"/>
          </w:tcPr>
          <w:p>
            <w:pPr>
              <w:pStyle w:val="Normal"/>
              <w:spacing w:lineRule="auto" w:line="240" w:before="20" w:after="20"/>
              <w:rPr/>
            </w:pPr>
            <w:r>
              <w:rPr>
                <w:b w:val="false"/>
                <w:color w:val="243444"/>
                <w:sz w:val="17"/>
              </w:rPr>
              <w:t>24-09-2026</w:t>
            </w:r>
          </w:p>
        </w:tc>
        <w:tc>
          <w:tcPr>
            <w:tcW w:w="2450" w:type="dxa"/>
            <w:tcBorders/>
            <w:shd w:fill="F0F4F8" w:val="clear"/>
            <w:vAlign w:val="center"/>
          </w:tcPr>
          <w:p>
            <w:pPr>
              <w:pStyle w:val="Normal"/>
              <w:spacing w:lineRule="auto" w:line="240" w:before="20" w:after="20"/>
              <w:rPr/>
            </w:pPr>
            <w:r>
              <w:rPr>
                <w:b w:val="false"/>
                <w:color w:val="243444"/>
                <w:sz w:val="17"/>
              </w:rPr>
              <w:t>f0c9a71</w:t>
            </w:r>
          </w:p>
        </w:tc>
        <w:tc>
          <w:tcPr>
            <w:tcW w:w="6192" w:type="dxa"/>
            <w:tcBorders/>
            <w:shd w:fill="F0F4F8" w:val="clear"/>
            <w:vAlign w:val="center"/>
          </w:tcPr>
          <w:p>
            <w:pPr>
              <w:pStyle w:val="Normal"/>
              <w:spacing w:lineRule="auto" w:line="240" w:before="20" w:after="20"/>
              <w:rPr/>
            </w:pPr>
            <w:r>
              <w:rPr>
                <w:b w:val="false"/>
                <w:color w:val="243444"/>
                <w:sz w:val="17"/>
              </w:rPr>
              <w:t>Migración inicial y metadata SQLx reproducible.</w:t>
            </w:r>
          </w:p>
        </w:tc>
      </w:tr>
      <w:tr>
        <w:trPr>
          <w:cantSplit/>
        </w:trPr>
        <w:tc>
          <w:tcPr>
            <w:tcW w:w="1582" w:type="dxa"/>
            <w:tcBorders/>
            <w:shd w:fill="FFFFFF" w:val="clear"/>
            <w:vAlign w:val="center"/>
          </w:tcPr>
          <w:p>
            <w:pPr>
              <w:pStyle w:val="Normal"/>
              <w:spacing w:lineRule="auto" w:line="240" w:before="20" w:after="20"/>
              <w:rPr/>
            </w:pPr>
            <w:r>
              <w:rPr>
                <w:b w:val="false"/>
                <w:color w:val="243444"/>
                <w:sz w:val="17"/>
              </w:rPr>
              <w:t>24-09-2026</w:t>
            </w:r>
          </w:p>
        </w:tc>
        <w:tc>
          <w:tcPr>
            <w:tcW w:w="2450" w:type="dxa"/>
            <w:tcBorders/>
            <w:shd w:fill="FFFFFF" w:val="clear"/>
            <w:vAlign w:val="center"/>
          </w:tcPr>
          <w:p>
            <w:pPr>
              <w:pStyle w:val="Normal"/>
              <w:spacing w:lineRule="auto" w:line="240" w:before="20" w:after="20"/>
              <w:rPr/>
            </w:pPr>
            <w:r>
              <w:rPr>
                <w:b w:val="false"/>
                <w:color w:val="243444"/>
                <w:sz w:val="17"/>
              </w:rPr>
              <w:t>0d2b7a4 / dde6263</w:t>
            </w:r>
          </w:p>
        </w:tc>
        <w:tc>
          <w:tcPr>
            <w:tcW w:w="6192" w:type="dxa"/>
            <w:tcBorders/>
            <w:shd w:fill="FFFFFF" w:val="clear"/>
            <w:vAlign w:val="center"/>
          </w:tcPr>
          <w:p>
            <w:pPr>
              <w:pStyle w:val="Normal"/>
              <w:spacing w:lineRule="auto" w:line="240" w:before="20" w:after="20"/>
              <w:rPr/>
            </w:pPr>
            <w:r>
              <w:rPr>
                <w:b w:val="false"/>
                <w:color w:val="243444"/>
                <w:sz w:val="17"/>
              </w:rPr>
              <w:t>RBAC, ownership y provisión segura de Admin.</w:t>
            </w:r>
          </w:p>
        </w:tc>
      </w:tr>
      <w:tr>
        <w:trPr>
          <w:cantSplit/>
        </w:trPr>
        <w:tc>
          <w:tcPr>
            <w:tcW w:w="1582" w:type="dxa"/>
            <w:tcBorders/>
            <w:shd w:fill="F0F4F8" w:val="clear"/>
            <w:vAlign w:val="center"/>
          </w:tcPr>
          <w:p>
            <w:pPr>
              <w:pStyle w:val="Normal"/>
              <w:spacing w:lineRule="auto" w:line="240" w:before="20" w:after="20"/>
              <w:rPr/>
            </w:pPr>
            <w:r>
              <w:rPr>
                <w:b w:val="false"/>
                <w:color w:val="243444"/>
                <w:sz w:val="17"/>
              </w:rPr>
              <w:t>24-09-2026</w:t>
            </w:r>
          </w:p>
        </w:tc>
        <w:tc>
          <w:tcPr>
            <w:tcW w:w="2450" w:type="dxa"/>
            <w:tcBorders/>
            <w:shd w:fill="F0F4F8" w:val="clear"/>
            <w:vAlign w:val="center"/>
          </w:tcPr>
          <w:p>
            <w:pPr>
              <w:pStyle w:val="Normal"/>
              <w:spacing w:lineRule="auto" w:line="240" w:before="20" w:after="20"/>
              <w:rPr/>
            </w:pPr>
            <w:r>
              <w:rPr>
                <w:b w:val="false"/>
                <w:color w:val="243444"/>
                <w:sz w:val="17"/>
              </w:rPr>
              <w:t>4c37389 / b281dd5</w:t>
            </w:r>
          </w:p>
        </w:tc>
        <w:tc>
          <w:tcPr>
            <w:tcW w:w="6192" w:type="dxa"/>
            <w:tcBorders/>
            <w:shd w:fill="F0F4F8" w:val="clear"/>
            <w:vAlign w:val="center"/>
          </w:tcPr>
          <w:p>
            <w:pPr>
              <w:pStyle w:val="Normal"/>
              <w:spacing w:lineRule="auto" w:line="240" w:before="20" w:after="20"/>
              <w:rPr/>
            </w:pPr>
            <w:r>
              <w:rPr>
                <w:b w:val="false"/>
                <w:color w:val="243444"/>
                <w:sz w:val="17"/>
              </w:rPr>
              <w:t>Lifecycle transaccional y frontend alineado.</w:t>
            </w:r>
          </w:p>
        </w:tc>
      </w:tr>
      <w:tr>
        <w:trPr>
          <w:cantSplit/>
        </w:trPr>
        <w:tc>
          <w:tcPr>
            <w:tcW w:w="1582" w:type="dxa"/>
            <w:tcBorders/>
            <w:shd w:fill="FFFFFF" w:val="clear"/>
            <w:vAlign w:val="center"/>
          </w:tcPr>
          <w:p>
            <w:pPr>
              <w:pStyle w:val="Normal"/>
              <w:spacing w:lineRule="auto" w:line="240" w:before="20" w:after="20"/>
              <w:rPr/>
            </w:pPr>
            <w:r>
              <w:rPr>
                <w:b w:val="false"/>
                <w:color w:val="243444"/>
                <w:sz w:val="17"/>
              </w:rPr>
              <w:t>25-09-2026</w:t>
            </w:r>
          </w:p>
        </w:tc>
        <w:tc>
          <w:tcPr>
            <w:tcW w:w="2450" w:type="dxa"/>
            <w:tcBorders/>
            <w:shd w:fill="FFFFFF" w:val="clear"/>
            <w:vAlign w:val="center"/>
          </w:tcPr>
          <w:p>
            <w:pPr>
              <w:pStyle w:val="Normal"/>
              <w:spacing w:lineRule="auto" w:line="240" w:before="20" w:after="20"/>
              <w:rPr/>
            </w:pPr>
            <w:r>
              <w:rPr>
                <w:b w:val="false"/>
                <w:color w:val="243444"/>
                <w:sz w:val="17"/>
              </w:rPr>
              <w:t>ea2673a / b20fd21</w:t>
            </w:r>
          </w:p>
        </w:tc>
        <w:tc>
          <w:tcPr>
            <w:tcW w:w="6192" w:type="dxa"/>
            <w:tcBorders/>
            <w:shd w:fill="FFFFFF" w:val="clear"/>
            <w:vAlign w:val="center"/>
          </w:tcPr>
          <w:p>
            <w:pPr>
              <w:pStyle w:val="Normal"/>
              <w:spacing w:lineRule="auto" w:line="240" w:before="20" w:after="20"/>
              <w:rPr/>
            </w:pPr>
            <w:r>
              <w:rPr>
                <w:b w:val="false"/>
                <w:color w:val="243444"/>
                <w:sz w:val="17"/>
              </w:rPr>
              <w:t>Matching estabilizado; ACT-01 y cobertura.</w:t>
            </w:r>
          </w:p>
        </w:tc>
      </w:tr>
      <w:tr>
        <w:trPr>
          <w:cantSplit/>
        </w:trPr>
        <w:tc>
          <w:tcPr>
            <w:tcW w:w="1582" w:type="dxa"/>
            <w:tcBorders/>
            <w:shd w:fill="F0F4F8" w:val="clear"/>
            <w:vAlign w:val="center"/>
          </w:tcPr>
          <w:p>
            <w:pPr>
              <w:pStyle w:val="Normal"/>
              <w:spacing w:lineRule="auto" w:line="240" w:before="20" w:after="20"/>
              <w:rPr/>
            </w:pPr>
            <w:r>
              <w:rPr>
                <w:b w:val="false"/>
                <w:color w:val="243444"/>
                <w:sz w:val="17"/>
              </w:rPr>
              <w:t>26-09-2026</w:t>
            </w:r>
          </w:p>
        </w:tc>
        <w:tc>
          <w:tcPr>
            <w:tcW w:w="2450" w:type="dxa"/>
            <w:tcBorders/>
            <w:shd w:fill="F0F4F8" w:val="clear"/>
            <w:vAlign w:val="center"/>
          </w:tcPr>
          <w:p>
            <w:pPr>
              <w:pStyle w:val="Normal"/>
              <w:spacing w:lineRule="auto" w:line="240" w:before="20" w:after="20"/>
              <w:rPr/>
            </w:pPr>
            <w:r>
              <w:rPr>
                <w:b w:val="false"/>
                <w:color w:val="243444"/>
                <w:sz w:val="17"/>
              </w:rPr>
              <w:t>0b8de8f / 9792bcd</w:t>
            </w:r>
          </w:p>
        </w:tc>
        <w:tc>
          <w:tcPr>
            <w:tcW w:w="6192" w:type="dxa"/>
            <w:tcBorders/>
            <w:shd w:fill="F0F4F8" w:val="clear"/>
            <w:vAlign w:val="center"/>
          </w:tcPr>
          <w:p>
            <w:pPr>
              <w:pStyle w:val="Normal"/>
              <w:spacing w:lineRule="auto" w:line="240" w:before="20" w:after="20"/>
              <w:rPr/>
            </w:pPr>
            <w:r>
              <w:rPr>
                <w:b w:val="false"/>
                <w:color w:val="243444"/>
                <w:sz w:val="17"/>
              </w:rPr>
              <w:t>CI/CD; evaluación ZAP/Sonar y correcciones.</w:t>
            </w:r>
          </w:p>
        </w:tc>
      </w:tr>
      <w:tr>
        <w:trPr>
          <w:cantSplit/>
        </w:trPr>
        <w:tc>
          <w:tcPr>
            <w:tcW w:w="1582" w:type="dxa"/>
            <w:tcBorders/>
            <w:shd w:fill="FFFFFF" w:val="clear"/>
            <w:vAlign w:val="center"/>
          </w:tcPr>
          <w:p>
            <w:pPr>
              <w:pStyle w:val="Normal"/>
              <w:spacing w:lineRule="auto" w:line="240" w:before="20" w:after="20"/>
              <w:rPr/>
            </w:pPr>
            <w:r>
              <w:rPr>
                <w:b w:val="false"/>
                <w:color w:val="243444"/>
                <w:sz w:val="17"/>
              </w:rPr>
              <w:t>26-09-2026</w:t>
            </w:r>
          </w:p>
        </w:tc>
        <w:tc>
          <w:tcPr>
            <w:tcW w:w="2450" w:type="dxa"/>
            <w:tcBorders/>
            <w:shd w:fill="FFFFFF" w:val="clear"/>
            <w:vAlign w:val="center"/>
          </w:tcPr>
          <w:p>
            <w:pPr>
              <w:pStyle w:val="Normal"/>
              <w:spacing w:lineRule="auto" w:line="240" w:before="20" w:after="20"/>
              <w:rPr/>
            </w:pPr>
            <w:r>
              <w:rPr>
                <w:b w:val="false"/>
                <w:color w:val="243444"/>
                <w:sz w:val="17"/>
              </w:rPr>
              <w:t>fe3d118 / d0cf347</w:t>
            </w:r>
          </w:p>
        </w:tc>
        <w:tc>
          <w:tcPr>
            <w:tcW w:w="6192" w:type="dxa"/>
            <w:tcBorders/>
            <w:shd w:fill="FFFFFF" w:val="clear"/>
            <w:vAlign w:val="center"/>
          </w:tcPr>
          <w:p>
            <w:pPr>
              <w:pStyle w:val="Normal"/>
              <w:spacing w:lineRule="auto" w:line="240" w:before="20" w:after="20"/>
              <w:rPr/>
            </w:pPr>
            <w:r>
              <w:rPr>
                <w:b w:val="false"/>
                <w:color w:val="243444"/>
                <w:sz w:val="17"/>
              </w:rPr>
              <w:t>Informe de cierre y plan de mejora.</w:t>
            </w:r>
          </w:p>
        </w:tc>
      </w:tr>
      <w:tr>
        <w:trPr>
          <w:cantSplit/>
        </w:trPr>
        <w:tc>
          <w:tcPr>
            <w:tcW w:w="1582" w:type="dxa"/>
            <w:tcBorders/>
            <w:shd w:fill="F0F4F8" w:val="clear"/>
            <w:vAlign w:val="center"/>
          </w:tcPr>
          <w:p>
            <w:pPr>
              <w:pStyle w:val="Normal"/>
              <w:spacing w:lineRule="auto" w:line="240" w:before="20" w:after="20"/>
              <w:rPr/>
            </w:pPr>
            <w:r>
              <w:rPr>
                <w:b w:val="false"/>
                <w:color w:val="243444"/>
                <w:sz w:val="17"/>
              </w:rPr>
              <w:t>26-09-2026</w:t>
            </w:r>
          </w:p>
        </w:tc>
        <w:tc>
          <w:tcPr>
            <w:tcW w:w="2450" w:type="dxa"/>
            <w:tcBorders/>
            <w:shd w:fill="F0F4F8" w:val="clear"/>
            <w:vAlign w:val="center"/>
          </w:tcPr>
          <w:p>
            <w:pPr>
              <w:pStyle w:val="Normal"/>
              <w:spacing w:lineRule="auto" w:line="240" w:before="20" w:after="20"/>
              <w:rPr/>
            </w:pPr>
            <w:r>
              <w:rPr>
                <w:b w:val="false"/>
                <w:color w:val="243444"/>
                <w:sz w:val="17"/>
              </w:rPr>
              <w:t>62b19d2</w:t>
            </w:r>
          </w:p>
        </w:tc>
        <w:tc>
          <w:tcPr>
            <w:tcW w:w="6192" w:type="dxa"/>
            <w:tcBorders/>
            <w:shd w:fill="F0F4F8" w:val="clear"/>
            <w:vAlign w:val="center"/>
          </w:tcPr>
          <w:p>
            <w:pPr>
              <w:pStyle w:val="Normal"/>
              <w:spacing w:lineRule="auto" w:line="240" w:before="20" w:after="20"/>
              <w:rPr/>
            </w:pPr>
            <w:r>
              <w:rPr>
                <w:b w:val="false"/>
                <w:color w:val="243444"/>
                <w:sz w:val="17"/>
              </w:rPr>
              <w:t>Acreditación de CI/CD remoto.</w:t>
            </w:r>
          </w:p>
        </w:tc>
      </w:tr>
      <w:tr>
        <w:trPr>
          <w:cantSplit/>
        </w:trPr>
        <w:tc>
          <w:tcPr>
            <w:tcW w:w="1582" w:type="dxa"/>
            <w:tcBorders/>
            <w:shd w:fill="FFFFFF" w:val="clear"/>
            <w:vAlign w:val="center"/>
          </w:tcPr>
          <w:p>
            <w:pPr>
              <w:pStyle w:val="Normal"/>
              <w:spacing w:lineRule="auto" w:line="240" w:before="20" w:after="20"/>
              <w:rPr/>
            </w:pPr>
            <w:r>
              <w:rPr>
                <w:b w:val="false"/>
                <w:color w:val="243444"/>
                <w:sz w:val="17"/>
              </w:rPr>
              <w:t>26-09-2026</w:t>
            </w:r>
          </w:p>
        </w:tc>
        <w:tc>
          <w:tcPr>
            <w:tcW w:w="2450" w:type="dxa"/>
            <w:tcBorders/>
            <w:shd w:fill="FFFFFF" w:val="clear"/>
            <w:vAlign w:val="center"/>
          </w:tcPr>
          <w:p>
            <w:pPr>
              <w:pStyle w:val="Normal"/>
              <w:spacing w:lineRule="auto" w:line="240" w:before="20" w:after="20"/>
              <w:rPr/>
            </w:pPr>
            <w:r>
              <w:rPr>
                <w:b w:val="false"/>
                <w:color w:val="243444"/>
                <w:sz w:val="17"/>
              </w:rPr>
              <w:t>2a783f0 / 3f14dbc</w:t>
            </w:r>
          </w:p>
        </w:tc>
        <w:tc>
          <w:tcPr>
            <w:tcW w:w="6192" w:type="dxa"/>
            <w:tcBorders/>
            <w:shd w:fill="FFFFFF" w:val="clear"/>
            <w:vAlign w:val="center"/>
          </w:tcPr>
          <w:p>
            <w:pPr>
              <w:pStyle w:val="Normal"/>
              <w:spacing w:lineRule="auto" w:line="240" w:before="20" w:after="20"/>
              <w:rPr/>
            </w:pPr>
            <w:r>
              <w:rPr>
                <w:b w:val="false"/>
                <w:color w:val="243444"/>
                <w:sz w:val="17"/>
              </w:rPr>
              <w:t>Rediseño UI y capturas/resultados de navegador.</w:t>
            </w:r>
          </w:p>
        </w:tc>
      </w:tr>
      <w:tr>
        <w:trPr>
          <w:cantSplit/>
        </w:trPr>
        <w:tc>
          <w:tcPr>
            <w:tcW w:w="1582" w:type="dxa"/>
            <w:tcBorders/>
            <w:shd w:fill="F0F4F8" w:val="clear"/>
            <w:vAlign w:val="center"/>
          </w:tcPr>
          <w:p>
            <w:pPr>
              <w:pStyle w:val="Normal"/>
              <w:spacing w:lineRule="auto" w:line="240" w:before="20" w:after="20"/>
              <w:rPr/>
            </w:pPr>
            <w:r>
              <w:rPr>
                <w:b w:val="false"/>
                <w:color w:val="243444"/>
                <w:sz w:val="17"/>
              </w:rPr>
              <w:t>26-09-2026</w:t>
            </w:r>
          </w:p>
        </w:tc>
        <w:tc>
          <w:tcPr>
            <w:tcW w:w="2450" w:type="dxa"/>
            <w:tcBorders/>
            <w:shd w:fill="F0F4F8" w:val="clear"/>
            <w:vAlign w:val="center"/>
          </w:tcPr>
          <w:p>
            <w:pPr>
              <w:pStyle w:val="Normal"/>
              <w:spacing w:lineRule="auto" w:line="240" w:before="20" w:after="20"/>
              <w:rPr/>
            </w:pPr>
            <w:r>
              <w:rPr>
                <w:b w:val="false"/>
                <w:color w:val="243444"/>
                <w:sz w:val="17"/>
              </w:rPr>
              <w:t>756728b</w:t>
            </w:r>
          </w:p>
        </w:tc>
        <w:tc>
          <w:tcPr>
            <w:tcW w:w="6192" w:type="dxa"/>
            <w:tcBorders/>
            <w:shd w:fill="F0F4F8" w:val="clear"/>
            <w:vAlign w:val="center"/>
          </w:tcPr>
          <w:p>
            <w:pPr>
              <w:pStyle w:val="Normal"/>
              <w:spacing w:lineRule="auto" w:line="240" w:before="20" w:after="20"/>
              <w:rPr/>
            </w:pPr>
            <w:r>
              <w:rPr>
                <w:b w:val="false"/>
                <w:color w:val="243444"/>
                <w:sz w:val="17"/>
              </w:rPr>
              <w:t>Actualización documental de validación UI final.</w:t>
            </w:r>
          </w:p>
        </w:tc>
      </w:tr>
    </w:tbl>
    <w:p>
      <w:pPr>
        <w:pStyle w:val="Heading2"/>
        <w:rPr/>
      </w:pPr>
      <w:r>
        <w:br w:type="page"/>
      </w:r>
      <w:r>
        <w:rPr/>
        <w:t>6.3 Desviaciones</w:t>
      </w:r>
    </w:p>
    <w:p>
      <w:pPr>
        <w:pStyle w:val="Normal"/>
        <w:rPr/>
      </w:pPr>
      <w:r>
        <w:rPr/>
        <w:t>Los incidentes demostrados explican cambios concretos; no permiten atribuir retrasos, costos o responsabilidades personales no registrados. La robustez transaccional, la reconstrucción del índice y la validación dinámica ampliaron el alcance técnico inicial.</w:t>
      </w:r>
    </w:p>
    <w:p>
      <w:pPr>
        <w:pStyle w:val="Normal"/>
        <w:keepNext w:val="true"/>
        <w:rPr/>
      </w:pPr>
      <w:r>
        <w:rPr>
          <w:sz w:val="18"/>
        </w:rPr>
        <w:t>Tabla 12. Incidentes y respuesta</w:t>
      </w:r>
    </w:p>
    <w:tbl>
      <w:tblPr>
        <w:tblW w:w="10224" w:type="dxa"/>
        <w:jc w:val="center"/>
        <w:tblInd w:w="0" w:type="dxa"/>
        <w:tblLayout w:type="fixed"/>
        <w:tblCellMar>
          <w:top w:w="35" w:type="dxa"/>
          <w:start w:w="55" w:type="dxa"/>
          <w:bottom w:w="35" w:type="dxa"/>
          <w:end w:w="55" w:type="dxa"/>
        </w:tblCellMar>
        <w:tblLook w:noHBand="0" w:noVBand="1" w:firstColumn="1" w:lastRow="0" w:lastColumn="0" w:firstRow="1" w:val="04a0"/>
      </w:tblPr>
      <w:tblGrid>
        <w:gridCol w:w="3094"/>
        <w:gridCol w:w="3456"/>
        <w:gridCol w:w="3674"/>
      </w:tblGrid>
      <w:tr>
        <w:trPr>
          <w:tblHeader w:val="true"/>
          <w:cantSplit/>
        </w:trPr>
        <w:tc>
          <w:tcPr>
            <w:tcW w:w="3094" w:type="dxa"/>
            <w:tcBorders/>
            <w:shd w:fill="19385F" w:val="clear"/>
            <w:vAlign w:val="center"/>
          </w:tcPr>
          <w:p>
            <w:pPr>
              <w:pStyle w:val="Normal"/>
              <w:spacing w:lineRule="auto" w:line="240" w:before="20" w:after="20"/>
              <w:rPr/>
            </w:pPr>
            <w:r>
              <w:rPr>
                <w:b/>
                <w:color w:val="FFFFFF"/>
                <w:sz w:val="18"/>
              </w:rPr>
              <w:t>Problema</w:t>
            </w:r>
          </w:p>
        </w:tc>
        <w:tc>
          <w:tcPr>
            <w:tcW w:w="3456" w:type="dxa"/>
            <w:tcBorders/>
            <w:shd w:fill="19385F" w:val="clear"/>
            <w:vAlign w:val="center"/>
          </w:tcPr>
          <w:p>
            <w:pPr>
              <w:pStyle w:val="Normal"/>
              <w:spacing w:lineRule="auto" w:line="240" w:before="20" w:after="20"/>
              <w:rPr/>
            </w:pPr>
            <w:r>
              <w:rPr>
                <w:b/>
                <w:color w:val="FFFFFF"/>
                <w:sz w:val="18"/>
              </w:rPr>
              <w:t>Acción correctiva</w:t>
            </w:r>
          </w:p>
        </w:tc>
        <w:tc>
          <w:tcPr>
            <w:tcW w:w="3674" w:type="dxa"/>
            <w:tcBorders/>
            <w:shd w:fill="19385F" w:val="clear"/>
            <w:vAlign w:val="center"/>
          </w:tcPr>
          <w:p>
            <w:pPr>
              <w:pStyle w:val="Normal"/>
              <w:spacing w:lineRule="auto" w:line="240" w:before="20" w:after="20"/>
              <w:rPr/>
            </w:pPr>
            <w:r>
              <w:rPr>
                <w:b/>
                <w:color w:val="FFFFFF"/>
                <w:sz w:val="18"/>
              </w:rPr>
              <w:t>Resultado / límite</w:t>
            </w:r>
          </w:p>
        </w:tc>
      </w:tr>
      <w:tr>
        <w:trPr>
          <w:cantSplit/>
        </w:trPr>
        <w:tc>
          <w:tcPr>
            <w:tcW w:w="3094" w:type="dxa"/>
            <w:tcBorders/>
            <w:shd w:fill="F0F4F8" w:val="clear"/>
            <w:vAlign w:val="center"/>
          </w:tcPr>
          <w:p>
            <w:pPr>
              <w:pStyle w:val="Normal"/>
              <w:spacing w:lineRule="auto" w:line="240" w:before="20" w:after="20"/>
              <w:rPr/>
            </w:pPr>
            <w:r>
              <w:rPr>
                <w:b w:val="false"/>
                <w:color w:val="243444"/>
                <w:sz w:val="18"/>
              </w:rPr>
              <w:t>Esquema SQLx inicialmente no versionado</w:t>
            </w:r>
          </w:p>
        </w:tc>
        <w:tc>
          <w:tcPr>
            <w:tcW w:w="3456" w:type="dxa"/>
            <w:tcBorders/>
            <w:shd w:fill="F0F4F8" w:val="clear"/>
            <w:vAlign w:val="center"/>
          </w:tcPr>
          <w:p>
            <w:pPr>
              <w:pStyle w:val="Normal"/>
              <w:spacing w:lineRule="auto" w:line="240" w:before="20" w:after="20"/>
              <w:rPr/>
            </w:pPr>
            <w:r>
              <w:rPr>
                <w:b w:val="false"/>
                <w:color w:val="243444"/>
                <w:sz w:val="18"/>
              </w:rPr>
              <w:t>Migraciones y metadata en f0c9a71.</w:t>
            </w:r>
          </w:p>
        </w:tc>
        <w:tc>
          <w:tcPr>
            <w:tcW w:w="3674" w:type="dxa"/>
            <w:tcBorders/>
            <w:shd w:fill="F0F4F8" w:val="clear"/>
            <w:vAlign w:val="center"/>
          </w:tcPr>
          <w:p>
            <w:pPr>
              <w:pStyle w:val="Normal"/>
              <w:spacing w:lineRule="auto" w:line="240" w:before="20" w:after="20"/>
              <w:rPr/>
            </w:pPr>
            <w:r>
              <w:rPr>
                <w:b w:val="false"/>
                <w:color w:val="243444"/>
                <w:sz w:val="18"/>
              </w:rPr>
              <w:t>Compilación y prepare verificables.</w:t>
            </w:r>
          </w:p>
        </w:tc>
      </w:tr>
      <w:tr>
        <w:trPr>
          <w:cantSplit/>
        </w:trPr>
        <w:tc>
          <w:tcPr>
            <w:tcW w:w="3094" w:type="dxa"/>
            <w:tcBorders/>
            <w:shd w:fill="FFFFFF" w:val="clear"/>
            <w:vAlign w:val="center"/>
          </w:tcPr>
          <w:p>
            <w:pPr>
              <w:pStyle w:val="Normal"/>
              <w:spacing w:lineRule="auto" w:line="240" w:before="20" w:after="20"/>
              <w:rPr/>
            </w:pPr>
            <w:r>
              <w:rPr>
                <w:b w:val="false"/>
                <w:color w:val="243444"/>
                <w:sz w:val="18"/>
              </w:rPr>
              <w:t>Registro admitía enum general de roles</w:t>
            </w:r>
          </w:p>
        </w:tc>
        <w:tc>
          <w:tcPr>
            <w:tcW w:w="3456" w:type="dxa"/>
            <w:tcBorders/>
            <w:shd w:fill="FFFFFF" w:val="clear"/>
            <w:vAlign w:val="center"/>
          </w:tcPr>
          <w:p>
            <w:pPr>
              <w:pStyle w:val="Normal"/>
              <w:spacing w:lineRule="auto" w:line="240" w:before="20" w:after="20"/>
              <w:rPr/>
            </w:pPr>
            <w:r>
              <w:rPr>
                <w:b w:val="false"/>
                <w:color w:val="243444"/>
                <w:sz w:val="18"/>
              </w:rPr>
              <w:t>PublicRole Empresa/ONG y bootstrap separado.</w:t>
            </w:r>
          </w:p>
        </w:tc>
        <w:tc>
          <w:tcPr>
            <w:tcW w:w="3674" w:type="dxa"/>
            <w:tcBorders/>
            <w:shd w:fill="FFFFFF" w:val="clear"/>
            <w:vAlign w:val="center"/>
          </w:tcPr>
          <w:p>
            <w:pPr>
              <w:pStyle w:val="Normal"/>
              <w:spacing w:lineRule="auto" w:line="240" w:before="20" w:after="20"/>
              <w:rPr/>
            </w:pPr>
            <w:r>
              <w:rPr>
                <w:b w:val="false"/>
                <w:color w:val="243444"/>
                <w:sz w:val="18"/>
              </w:rPr>
              <w:t>Alta privilegiada fuera del registro público.</w:t>
            </w:r>
          </w:p>
        </w:tc>
      </w:tr>
      <w:tr>
        <w:trPr>
          <w:cantSplit/>
        </w:trPr>
        <w:tc>
          <w:tcPr>
            <w:tcW w:w="3094" w:type="dxa"/>
            <w:tcBorders/>
            <w:shd w:fill="F0F4F8" w:val="clear"/>
            <w:vAlign w:val="center"/>
          </w:tcPr>
          <w:p>
            <w:pPr>
              <w:pStyle w:val="Normal"/>
              <w:spacing w:lineRule="auto" w:line="240" w:before="20" w:after="20"/>
              <w:rPr/>
            </w:pPr>
            <w:r>
              <w:rPr>
                <w:b w:val="false"/>
                <w:color w:val="243444"/>
                <w:sz w:val="18"/>
              </w:rPr>
              <w:t>Aprobación implicaba tránsito</w:t>
            </w:r>
          </w:p>
        </w:tc>
        <w:tc>
          <w:tcPr>
            <w:tcW w:w="3456" w:type="dxa"/>
            <w:tcBorders/>
            <w:shd w:fill="F0F4F8" w:val="clear"/>
            <w:vAlign w:val="center"/>
          </w:tcPr>
          <w:p>
            <w:pPr>
              <w:pStyle w:val="Normal"/>
              <w:spacing w:lineRule="auto" w:line="240" w:before="20" w:after="20"/>
              <w:rPr/>
            </w:pPr>
            <w:r>
              <w:rPr>
                <w:b w:val="false"/>
                <w:color w:val="243444"/>
                <w:sz w:val="18"/>
              </w:rPr>
              <w:t>Estados y locks transaccionales.</w:t>
            </w:r>
          </w:p>
        </w:tc>
        <w:tc>
          <w:tcPr>
            <w:tcW w:w="3674" w:type="dxa"/>
            <w:tcBorders/>
            <w:shd w:fill="F0F4F8" w:val="clear"/>
            <w:vAlign w:val="center"/>
          </w:tcPr>
          <w:p>
            <w:pPr>
              <w:pStyle w:val="Normal"/>
              <w:spacing w:lineRule="auto" w:line="240" w:before="20" w:after="20"/>
              <w:rPr/>
            </w:pPr>
            <w:r>
              <w:rPr>
                <w:b w:val="false"/>
                <w:color w:val="243444"/>
                <w:sz w:val="18"/>
              </w:rPr>
              <w:t>Aprobación y salida física independientes.</w:t>
            </w:r>
          </w:p>
        </w:tc>
      </w:tr>
      <w:tr>
        <w:trPr>
          <w:cantSplit/>
        </w:trPr>
        <w:tc>
          <w:tcPr>
            <w:tcW w:w="3094" w:type="dxa"/>
            <w:tcBorders/>
            <w:shd w:fill="FFFFFF" w:val="clear"/>
            <w:vAlign w:val="center"/>
          </w:tcPr>
          <w:p>
            <w:pPr>
              <w:pStyle w:val="Normal"/>
              <w:spacing w:lineRule="auto" w:line="240" w:before="20" w:after="20"/>
              <w:rPr/>
            </w:pPr>
            <w:r>
              <w:rPr>
                <w:b w:val="false"/>
                <w:color w:val="243444"/>
                <w:sz w:val="18"/>
              </w:rPr>
              <w:t>Chroma con rutas/colección inconsistentes</w:t>
            </w:r>
          </w:p>
        </w:tc>
        <w:tc>
          <w:tcPr>
            <w:tcW w:w="3456" w:type="dxa"/>
            <w:tcBorders/>
            <w:shd w:fill="FFFFFF" w:val="clear"/>
            <w:vAlign w:val="center"/>
          </w:tcPr>
          <w:p>
            <w:pPr>
              <w:pStyle w:val="Normal"/>
              <w:spacing w:lineRule="auto" w:line="240" w:before="20" w:after="20"/>
              <w:rPr/>
            </w:pPr>
            <w:r>
              <w:rPr>
                <w:b w:val="false"/>
                <w:color w:val="243444"/>
                <w:sz w:val="18"/>
              </w:rPr>
              <w:t>API v2, colección y reindexación unificadas.</w:t>
            </w:r>
          </w:p>
        </w:tc>
        <w:tc>
          <w:tcPr>
            <w:tcW w:w="3674" w:type="dxa"/>
            <w:tcBorders/>
            <w:shd w:fill="FFFFFF" w:val="clear"/>
            <w:vAlign w:val="center"/>
          </w:tcPr>
          <w:p>
            <w:pPr>
              <w:pStyle w:val="Normal"/>
              <w:spacing w:lineRule="auto" w:line="240" w:before="20" w:after="20"/>
              <w:rPr/>
            </w:pPr>
            <w:r>
              <w:rPr>
                <w:b w:val="false"/>
                <w:color w:val="243444"/>
                <w:sz w:val="18"/>
              </w:rPr>
              <w:t>Matching local con fallback.</w:t>
            </w:r>
          </w:p>
        </w:tc>
      </w:tr>
      <w:tr>
        <w:trPr>
          <w:cantSplit/>
        </w:trPr>
        <w:tc>
          <w:tcPr>
            <w:tcW w:w="3094" w:type="dxa"/>
            <w:tcBorders/>
            <w:shd w:fill="F0F4F8" w:val="clear"/>
            <w:vAlign w:val="center"/>
          </w:tcPr>
          <w:p>
            <w:pPr>
              <w:pStyle w:val="Normal"/>
              <w:spacing w:lineRule="auto" w:line="240" w:before="20" w:after="20"/>
              <w:rPr/>
            </w:pPr>
            <w:r>
              <w:rPr>
                <w:b w:val="false"/>
                <w:color w:val="243444"/>
                <w:sz w:val="18"/>
              </w:rPr>
              <w:t>XSS almacenado en popup</w:t>
            </w:r>
          </w:p>
        </w:tc>
        <w:tc>
          <w:tcPr>
            <w:tcW w:w="3456" w:type="dxa"/>
            <w:tcBorders/>
            <w:shd w:fill="F0F4F8" w:val="clear"/>
            <w:vAlign w:val="center"/>
          </w:tcPr>
          <w:p>
            <w:pPr>
              <w:pStyle w:val="Normal"/>
              <w:spacing w:lineRule="auto" w:line="240" w:before="20" w:after="20"/>
              <w:rPr/>
            </w:pPr>
            <w:r>
              <w:rPr>
                <w:b w:val="false"/>
                <w:color w:val="243444"/>
                <w:sz w:val="18"/>
              </w:rPr>
              <w:t>DOM/textContent y regresión.</w:t>
            </w:r>
          </w:p>
        </w:tc>
        <w:tc>
          <w:tcPr>
            <w:tcW w:w="3674" w:type="dxa"/>
            <w:tcBorders/>
            <w:shd w:fill="F0F4F8" w:val="clear"/>
            <w:vAlign w:val="center"/>
          </w:tcPr>
          <w:p>
            <w:pPr>
              <w:pStyle w:val="Normal"/>
              <w:spacing w:lineRule="auto" w:line="240" w:before="20" w:after="20"/>
              <w:rPr/>
            </w:pPr>
            <w:r>
              <w:rPr>
                <w:b w:val="false"/>
                <w:color w:val="243444"/>
                <w:sz w:val="18"/>
              </w:rPr>
              <w:t>Mismo payload sin ejecución en Chromium.</w:t>
            </w:r>
          </w:p>
        </w:tc>
      </w:tr>
      <w:tr>
        <w:trPr>
          <w:cantSplit/>
        </w:trPr>
        <w:tc>
          <w:tcPr>
            <w:tcW w:w="3094" w:type="dxa"/>
            <w:tcBorders/>
            <w:shd w:fill="FFFFFF" w:val="clear"/>
            <w:vAlign w:val="center"/>
          </w:tcPr>
          <w:p>
            <w:pPr>
              <w:pStyle w:val="Normal"/>
              <w:spacing w:lineRule="auto" w:line="240" w:before="20" w:after="20"/>
              <w:rPr/>
            </w:pPr>
            <w:r>
              <w:rPr>
                <w:b w:val="false"/>
                <w:color w:val="243444"/>
                <w:sz w:val="18"/>
              </w:rPr>
              <w:t>Gate con cobertura nueva insuficiente</w:t>
            </w:r>
          </w:p>
        </w:tc>
        <w:tc>
          <w:tcPr>
            <w:tcW w:w="3456" w:type="dxa"/>
            <w:tcBorders/>
            <w:shd w:fill="FFFFFF" w:val="clear"/>
            <w:vAlign w:val="center"/>
          </w:tcPr>
          <w:p>
            <w:pPr>
              <w:pStyle w:val="Normal"/>
              <w:spacing w:lineRule="auto" w:line="240" w:before="20" w:after="20"/>
              <w:rPr/>
            </w:pPr>
            <w:r>
              <w:rPr>
                <w:b w:val="false"/>
                <w:color w:val="243444"/>
                <w:sz w:val="18"/>
              </w:rPr>
              <w:t>Nuevas pruebas GardenGraph.</w:t>
            </w:r>
          </w:p>
        </w:tc>
        <w:tc>
          <w:tcPr>
            <w:tcW w:w="3674" w:type="dxa"/>
            <w:tcBorders/>
            <w:shd w:fill="FFFFFF" w:val="clear"/>
            <w:vAlign w:val="center"/>
          </w:tcPr>
          <w:p>
            <w:pPr>
              <w:pStyle w:val="Normal"/>
              <w:spacing w:lineRule="auto" w:line="240" w:before="20" w:after="20"/>
              <w:rPr/>
            </w:pPr>
            <w:r>
              <w:rPr>
                <w:b w:val="false"/>
                <w:color w:val="243444"/>
                <w:sz w:val="18"/>
              </w:rPr>
              <w:t>Gate PASS sin bajar condiciones.</w:t>
            </w:r>
          </w:p>
        </w:tc>
      </w:tr>
    </w:tbl>
    <w:p>
      <w:pPr>
        <w:pStyle w:val="Heading2"/>
        <w:rPr/>
      </w:pPr>
      <w:r>
        <w:rPr/>
        <w:t>6.4 Lecciones aprendidas</w:t>
      </w:r>
    </w:p>
    <w:p>
      <w:pPr>
        <w:pStyle w:val="Normal"/>
        <w:rPr/>
      </w:pPr>
      <w:r>
        <w:rPr>
          <w:sz w:val="18"/>
        </w:rPr>
        <w:t>1. Versionar el esquema desde el inicio evita dependencias ocultas: f0c9a71 convirtió la base y SQLx en artefactos reproducibles.</w:t>
      </w:r>
    </w:p>
    <w:p>
      <w:pPr>
        <w:pStyle w:val="Normal"/>
        <w:rPr/>
      </w:pPr>
      <w:r>
        <w:rPr>
          <w:sz w:val="18"/>
        </w:rPr>
        <w:t>2. La autorización debe imponerse en backend: PublicRole, RBAC y ownership cierran acciones que una interfaz por sí sola no puede proteger.</w:t>
      </w:r>
    </w:p>
    <w:p>
      <w:pPr>
        <w:pStyle w:val="Normal"/>
        <w:rPr/>
      </w:pPr>
      <w:r>
        <w:rPr>
          <w:sz w:val="18"/>
        </w:rPr>
        <w:t>3. Aprobación y salida física requieren eventos separados: el cambio transaccional 4c37389 alineó los estados con el proceso real.</w:t>
      </w:r>
    </w:p>
    <w:p>
      <w:pPr>
        <w:pStyle w:val="Normal"/>
        <w:rPr/>
      </w:pPr>
      <w:r>
        <w:rPr>
          <w:sz w:val="18"/>
        </w:rPr>
        <w:t>4. Un índice derivado debe ser reconstruible: la reindexación Chroma desde PostgreSQL evita tratar el índice como fuente única de verdad.</w:t>
      </w:r>
    </w:p>
    <w:p>
      <w:pPr>
        <w:pStyle w:val="Normal"/>
        <w:rPr/>
      </w:pPr>
      <w:r>
        <w:rPr>
          <w:sz w:val="18"/>
        </w:rPr>
        <w:t>5. Las pruebas concurrentes aportan evidencia específica: carreras y rollback validan exclusión y consistencia más allá del caso secuencial.</w:t>
      </w:r>
    </w:p>
    <w:p>
      <w:pPr>
        <w:pStyle w:val="Normal"/>
        <w:rPr/>
      </w:pPr>
      <w:r>
        <w:rPr>
          <w:sz w:val="18"/>
        </w:rPr>
        <w:t>6. La cobertura se mide por alcance: contar tests no sustituye explicar qué archivos y métricas fueron instrumentados.</w:t>
      </w:r>
    </w:p>
    <w:p>
      <w:pPr>
        <w:pStyle w:val="Normal"/>
        <w:rPr/>
      </w:pPr>
      <w:r>
        <w:rPr>
          <w:sz w:val="18"/>
        </w:rPr>
        <w:t>7. ZAP no sustituye el navegador: el XSS se comprobó dinámicamente pese a no aparecer en los avisos automáticos.</w:t>
      </w:r>
    </w:p>
    <w:p>
      <w:pPr>
        <w:pStyle w:val="Normal"/>
        <w:rPr/>
      </w:pPr>
      <w:r>
        <w:rPr>
          <w:sz w:val="18"/>
        </w:rPr>
        <w:t>8. El Quality Gate debe orientar cambios verificables: el fallo intermedio se resolvió con pruebas, sin modificar el umbral.</w:t>
      </w:r>
    </w:p>
    <w:p>
      <w:pPr>
        <w:pStyle w:val="Normal"/>
        <w:rPr/>
      </w:pPr>
      <w:r>
        <w:rPr>
          <w:sz w:val="18"/>
        </w:rPr>
        <w:t>9. CI reproducible reduce diferencias entre ambientes: migración, readiness, smoke y cleanup se acreditaron local y remotamente.</w:t>
      </w:r>
    </w:p>
    <w:p>
      <w:pPr>
        <w:pStyle w:val="Heading2"/>
        <w:rPr/>
      </w:pPr>
      <w:r>
        <w:rPr/>
        <w:t>6.5 Limitaciones actuales</w:t>
      </w:r>
    </w:p>
    <w:p>
      <w:pPr>
        <w:pStyle w:val="Normal"/>
        <w:rPr/>
      </w:pPr>
      <w:r>
        <w:rPr/>
        <w:t>Persisten CSP Medium, active scan autenticado completo y una suite E2E integrada en CI. También quedan la complejidad del seed, la metodología de métricas CEO, ubicación real de recogida, urgencia declarada y validación de Groq. El matching aún usa variables de referencia; corregir el marcador personal no corrige esos datos de negocio. No existe evidencia de producción ni una línea base temporal para afirmar “se retrasó X días”.</w:t>
      </w:r>
      <w:r>
        <w:br w:type="page"/>
      </w:r>
    </w:p>
    <w:p>
      <w:pPr>
        <w:pStyle w:val="Heading1"/>
        <w:spacing w:before="0" w:after="100"/>
        <w:rPr/>
      </w:pPr>
      <w:r>
        <w:rPr/>
        <w:t>7. Plan de mejora continua</w:t>
      </w:r>
    </w:p>
    <w:p>
      <w:pPr>
        <w:pStyle w:val="Heading2"/>
        <w:rPr/>
      </w:pPr>
      <w:r>
        <w:rPr/>
        <w:t>7.1 Objetivo</w:t>
      </w:r>
    </w:p>
    <w:p>
      <w:pPr>
        <w:pStyle w:val="Normal"/>
        <w:rPr/>
      </w:pPr>
      <w:r>
        <w:rPr/>
        <w:t>El plan transforma los hallazgos en 25 acciones: 8 de prioridad Alta, 13 Media y 4 Baja. CI-01 ya cumplió la acreditación remota inicial; las demás mantienen objetivos futuros o recurrentes. Los horizontes expresan precedencia propuesta, no fechas históricas. Cada cierre exige pruebas, métricas o documentación trazable [8].</w:t>
      </w:r>
    </w:p>
    <w:p>
      <w:pPr>
        <w:pStyle w:val="Heading2"/>
        <w:rPr/>
      </w:pPr>
      <w:r>
        <w:rPr/>
        <w:t>7.2 Acciones priorizadas</w:t>
      </w:r>
    </w:p>
    <w:p>
      <w:pPr>
        <w:pStyle w:val="Normal"/>
        <w:rPr/>
      </w:pPr>
      <w:r>
        <w:rPr/>
        <w:t>Las tablas 13 y 14 condensan acciones y metas del plan. Los IDs permiten consultar sus dependencias y evidencias detalladas. No se presentan mejoras futuras como funcionalidades entregadas.</w:t>
      </w:r>
    </w:p>
    <w:p>
      <w:pPr>
        <w:pStyle w:val="Normal"/>
        <w:keepNext w:val="true"/>
        <w:rPr/>
      </w:pPr>
      <w:r>
        <w:rPr>
          <w:sz w:val="18"/>
        </w:rPr>
        <w:t>Tabla 13. Seguridad, calidad, pruebas y operación</w:t>
      </w:r>
    </w:p>
    <w:tbl>
      <w:tblPr>
        <w:tblW w:w="10224" w:type="dxa"/>
        <w:jc w:val="center"/>
        <w:tblInd w:w="0" w:type="dxa"/>
        <w:tblLayout w:type="fixed"/>
        <w:tblCellMar>
          <w:top w:w="35" w:type="dxa"/>
          <w:start w:w="55" w:type="dxa"/>
          <w:bottom w:w="35" w:type="dxa"/>
          <w:end w:w="55" w:type="dxa"/>
        </w:tblCellMar>
        <w:tblLook w:noHBand="0" w:noVBand="1" w:firstColumn="1" w:lastRow="0" w:lastColumn="0" w:firstRow="1" w:val="04a0"/>
      </w:tblPr>
      <w:tblGrid>
        <w:gridCol w:w="2376"/>
        <w:gridCol w:w="934"/>
        <w:gridCol w:w="2376"/>
        <w:gridCol w:w="3384"/>
        <w:gridCol w:w="1154"/>
      </w:tblGrid>
      <w:tr>
        <w:trPr>
          <w:tblHeader w:val="true"/>
          <w:cantSplit/>
        </w:trPr>
        <w:tc>
          <w:tcPr>
            <w:tcW w:w="2376" w:type="dxa"/>
            <w:tcBorders/>
            <w:shd w:fill="19385F" w:val="clear"/>
            <w:vAlign w:val="center"/>
          </w:tcPr>
          <w:p>
            <w:pPr>
              <w:pStyle w:val="Normal"/>
              <w:spacing w:lineRule="auto" w:line="240" w:before="20" w:after="20"/>
              <w:rPr/>
            </w:pPr>
            <w:r>
              <w:rPr>
                <w:b/>
                <w:color w:val="FFFFFF"/>
                <w:sz w:val="17"/>
              </w:rPr>
              <w:t>Acción</w:t>
            </w:r>
          </w:p>
        </w:tc>
        <w:tc>
          <w:tcPr>
            <w:tcW w:w="934" w:type="dxa"/>
            <w:tcBorders/>
            <w:shd w:fill="19385F" w:val="clear"/>
            <w:vAlign w:val="center"/>
          </w:tcPr>
          <w:p>
            <w:pPr>
              <w:pStyle w:val="Normal"/>
              <w:spacing w:lineRule="auto" w:line="240" w:before="20" w:after="20"/>
              <w:rPr/>
            </w:pPr>
            <w:r>
              <w:rPr>
                <w:b/>
                <w:color w:val="FFFFFF"/>
                <w:sz w:val="17"/>
              </w:rPr>
              <w:t>Prioridad</w:t>
            </w:r>
          </w:p>
        </w:tc>
        <w:tc>
          <w:tcPr>
            <w:tcW w:w="2376" w:type="dxa"/>
            <w:tcBorders/>
            <w:shd w:fill="19385F" w:val="clear"/>
            <w:vAlign w:val="center"/>
          </w:tcPr>
          <w:p>
            <w:pPr>
              <w:pStyle w:val="Normal"/>
              <w:spacing w:lineRule="auto" w:line="240" w:before="20" w:after="20"/>
              <w:rPr/>
            </w:pPr>
            <w:r>
              <w:rPr>
                <w:b/>
                <w:color w:val="FFFFFF"/>
                <w:sz w:val="17"/>
              </w:rPr>
              <w:t>KPI</w:t>
            </w:r>
          </w:p>
        </w:tc>
        <w:tc>
          <w:tcPr>
            <w:tcW w:w="3384" w:type="dxa"/>
            <w:tcBorders/>
            <w:shd w:fill="19385F" w:val="clear"/>
            <w:vAlign w:val="center"/>
          </w:tcPr>
          <w:p>
            <w:pPr>
              <w:pStyle w:val="Normal"/>
              <w:spacing w:lineRule="auto" w:line="240" w:before="20" w:after="20"/>
              <w:rPr/>
            </w:pPr>
            <w:r>
              <w:rPr>
                <w:b/>
                <w:color w:val="FFFFFF"/>
                <w:sz w:val="17"/>
              </w:rPr>
              <w:t>Meta</w:t>
            </w:r>
          </w:p>
        </w:tc>
        <w:tc>
          <w:tcPr>
            <w:tcW w:w="1154" w:type="dxa"/>
            <w:tcBorders/>
            <w:shd w:fill="19385F" w:val="clear"/>
            <w:vAlign w:val="center"/>
          </w:tcPr>
          <w:p>
            <w:pPr>
              <w:pStyle w:val="Normal"/>
              <w:spacing w:lineRule="auto" w:line="240" w:before="20" w:after="20"/>
              <w:rPr/>
            </w:pPr>
            <w:r>
              <w:rPr>
                <w:b/>
                <w:color w:val="FFFFFF"/>
                <w:sz w:val="17"/>
              </w:rPr>
              <w:t>Horizonte</w:t>
            </w:r>
          </w:p>
        </w:tc>
      </w:tr>
      <w:tr>
        <w:trPr>
          <w:cantSplit/>
        </w:trPr>
        <w:tc>
          <w:tcPr>
            <w:tcW w:w="2376" w:type="dxa"/>
            <w:tcBorders/>
            <w:shd w:fill="F0F4F8" w:val="clear"/>
            <w:vAlign w:val="center"/>
          </w:tcPr>
          <w:p>
            <w:pPr>
              <w:pStyle w:val="Normal"/>
              <w:spacing w:lineRule="auto" w:line="240" w:before="20" w:after="20"/>
              <w:rPr/>
            </w:pPr>
            <w:r>
              <w:rPr>
                <w:b w:val="false"/>
                <w:color w:val="243444"/>
                <w:sz w:val="17"/>
              </w:rPr>
              <w:t>SEC-01 · CSP segura</w:t>
            </w:r>
          </w:p>
        </w:tc>
        <w:tc>
          <w:tcPr>
            <w:tcW w:w="934" w:type="dxa"/>
            <w:tcBorders/>
            <w:shd w:fill="F0F4F8" w:val="clear"/>
            <w:vAlign w:val="center"/>
          </w:tcPr>
          <w:p>
            <w:pPr>
              <w:pStyle w:val="Normal"/>
              <w:spacing w:lineRule="auto" w:line="240" w:before="20" w:after="20"/>
              <w:rPr/>
            </w:pPr>
            <w:r>
              <w:rPr>
                <w:b w:val="false"/>
                <w:color w:val="243444"/>
                <w:sz w:val="17"/>
              </w:rPr>
              <w:t>Alta</w:t>
            </w:r>
          </w:p>
        </w:tc>
        <w:tc>
          <w:tcPr>
            <w:tcW w:w="2376" w:type="dxa"/>
            <w:tcBorders/>
            <w:shd w:fill="F0F4F8" w:val="clear"/>
            <w:vAlign w:val="center"/>
          </w:tcPr>
          <w:p>
            <w:pPr>
              <w:pStyle w:val="Normal"/>
              <w:spacing w:lineRule="auto" w:line="240" w:before="20" w:after="20"/>
              <w:rPr/>
            </w:pPr>
            <w:r>
              <w:rPr>
                <w:b w:val="false"/>
                <w:color w:val="243444"/>
                <w:sz w:val="17"/>
              </w:rPr>
              <w:t>Alerta Medium CSP</w:t>
            </w:r>
          </w:p>
        </w:tc>
        <w:tc>
          <w:tcPr>
            <w:tcW w:w="3384" w:type="dxa"/>
            <w:tcBorders/>
            <w:shd w:fill="F0F4F8" w:val="clear"/>
            <w:vAlign w:val="center"/>
          </w:tcPr>
          <w:p>
            <w:pPr>
              <w:pStyle w:val="Normal"/>
              <w:spacing w:lineRule="auto" w:line="240" w:before="20" w:after="20"/>
              <w:rPr/>
            </w:pPr>
            <w:r>
              <w:rPr>
                <w:b w:val="false"/>
                <w:color w:val="243444"/>
                <w:sz w:val="17"/>
              </w:rPr>
              <w:t>1 → 0 sin romper mapa/API.</w:t>
            </w:r>
          </w:p>
        </w:tc>
        <w:tc>
          <w:tcPr>
            <w:tcW w:w="1154" w:type="dxa"/>
            <w:tcBorders/>
            <w:shd w:fill="F0F4F8" w:val="clear"/>
            <w:vAlign w:val="center"/>
          </w:tcPr>
          <w:p>
            <w:pPr>
              <w:pStyle w:val="Normal"/>
              <w:spacing w:lineRule="auto" w:line="240" w:before="20" w:after="20"/>
              <w:rPr/>
            </w:pPr>
            <w:r>
              <w:rPr>
                <w:b w:val="false"/>
                <w:color w:val="243444"/>
                <w:sz w:val="17"/>
              </w:rPr>
              <w:t>Corto</w:t>
            </w:r>
          </w:p>
        </w:tc>
      </w:tr>
      <w:tr>
        <w:trPr>
          <w:cantSplit/>
        </w:trPr>
        <w:tc>
          <w:tcPr>
            <w:tcW w:w="2376" w:type="dxa"/>
            <w:tcBorders/>
            <w:shd w:fill="FFFFFF" w:val="clear"/>
            <w:vAlign w:val="center"/>
          </w:tcPr>
          <w:p>
            <w:pPr>
              <w:pStyle w:val="Normal"/>
              <w:spacing w:lineRule="auto" w:line="240" w:before="20" w:after="20"/>
              <w:rPr/>
            </w:pPr>
            <w:r>
              <w:rPr>
                <w:b w:val="false"/>
                <w:color w:val="243444"/>
                <w:sz w:val="17"/>
              </w:rPr>
              <w:t>SEC-02 · ZAP autenticado</w:t>
            </w:r>
          </w:p>
        </w:tc>
        <w:tc>
          <w:tcPr>
            <w:tcW w:w="934" w:type="dxa"/>
            <w:tcBorders/>
            <w:shd w:fill="FFFFFF" w:val="clear"/>
            <w:vAlign w:val="center"/>
          </w:tcPr>
          <w:p>
            <w:pPr>
              <w:pStyle w:val="Normal"/>
              <w:spacing w:lineRule="auto" w:line="240" w:before="20" w:after="20"/>
              <w:rPr/>
            </w:pPr>
            <w:r>
              <w:rPr>
                <w:b w:val="false"/>
                <w:color w:val="243444"/>
                <w:sz w:val="17"/>
              </w:rPr>
              <w:t>Alta</w:t>
            </w:r>
          </w:p>
        </w:tc>
        <w:tc>
          <w:tcPr>
            <w:tcW w:w="2376" w:type="dxa"/>
            <w:tcBorders/>
            <w:shd w:fill="FFFFFF" w:val="clear"/>
            <w:vAlign w:val="center"/>
          </w:tcPr>
          <w:p>
            <w:pPr>
              <w:pStyle w:val="Normal"/>
              <w:spacing w:lineRule="auto" w:line="240" w:before="20" w:after="20"/>
              <w:rPr/>
            </w:pPr>
            <w:r>
              <w:rPr>
                <w:b w:val="false"/>
                <w:color w:val="243444"/>
                <w:sz w:val="17"/>
              </w:rPr>
              <w:t>Rutas protegidas inventariadas</w:t>
            </w:r>
          </w:p>
        </w:tc>
        <w:tc>
          <w:tcPr>
            <w:tcW w:w="3384" w:type="dxa"/>
            <w:tcBorders/>
            <w:shd w:fill="FFFFFF" w:val="clear"/>
            <w:vAlign w:val="center"/>
          </w:tcPr>
          <w:p>
            <w:pPr>
              <w:pStyle w:val="Normal"/>
              <w:spacing w:lineRule="auto" w:line="240" w:before="20" w:after="20"/>
              <w:rPr/>
            </w:pPr>
            <w:r>
              <w:rPr>
                <w:b w:val="false"/>
                <w:color w:val="243444"/>
                <w:sz w:val="17"/>
              </w:rPr>
              <w:t>100% cubiertas o exclusión justificada.</w:t>
            </w:r>
          </w:p>
        </w:tc>
        <w:tc>
          <w:tcPr>
            <w:tcW w:w="1154" w:type="dxa"/>
            <w:tcBorders/>
            <w:shd w:fill="FFFFFF" w:val="clear"/>
            <w:vAlign w:val="center"/>
          </w:tcPr>
          <w:p>
            <w:pPr>
              <w:pStyle w:val="Normal"/>
              <w:spacing w:lineRule="auto" w:line="240" w:before="20" w:after="20"/>
              <w:rPr/>
            </w:pPr>
            <w:r>
              <w:rPr>
                <w:b w:val="false"/>
                <w:color w:val="243444"/>
                <w:sz w:val="17"/>
              </w:rPr>
              <w:t>Corto</w:t>
            </w:r>
          </w:p>
        </w:tc>
      </w:tr>
      <w:tr>
        <w:trPr>
          <w:cantSplit/>
        </w:trPr>
        <w:tc>
          <w:tcPr>
            <w:tcW w:w="2376" w:type="dxa"/>
            <w:tcBorders/>
            <w:shd w:fill="F0F4F8" w:val="clear"/>
            <w:vAlign w:val="center"/>
          </w:tcPr>
          <w:p>
            <w:pPr>
              <w:pStyle w:val="Normal"/>
              <w:spacing w:lineRule="auto" w:line="240" w:before="20" w:after="20"/>
              <w:rPr/>
            </w:pPr>
            <w:r>
              <w:rPr>
                <w:b w:val="false"/>
                <w:color w:val="243444"/>
                <w:sz w:val="17"/>
              </w:rPr>
              <w:t>SEC-03 · Dependencias</w:t>
            </w:r>
          </w:p>
        </w:tc>
        <w:tc>
          <w:tcPr>
            <w:tcW w:w="934" w:type="dxa"/>
            <w:tcBorders/>
            <w:shd w:fill="F0F4F8" w:val="clear"/>
            <w:vAlign w:val="center"/>
          </w:tcPr>
          <w:p>
            <w:pPr>
              <w:pStyle w:val="Normal"/>
              <w:spacing w:lineRule="auto" w:line="240" w:before="20" w:after="20"/>
              <w:rPr/>
            </w:pPr>
            <w:r>
              <w:rPr>
                <w:b w:val="false"/>
                <w:color w:val="243444"/>
                <w:sz w:val="17"/>
              </w:rPr>
              <w:t>Media</w:t>
            </w:r>
          </w:p>
        </w:tc>
        <w:tc>
          <w:tcPr>
            <w:tcW w:w="2376" w:type="dxa"/>
            <w:tcBorders/>
            <w:shd w:fill="F0F4F8" w:val="clear"/>
            <w:vAlign w:val="center"/>
          </w:tcPr>
          <w:p>
            <w:pPr>
              <w:pStyle w:val="Normal"/>
              <w:spacing w:lineRule="auto" w:line="240" w:before="20" w:after="20"/>
              <w:rPr/>
            </w:pPr>
            <w:r>
              <w:rPr>
                <w:b w:val="false"/>
                <w:color w:val="243444"/>
                <w:sz w:val="17"/>
              </w:rPr>
              <w:t>Critical/High sin triage</w:t>
            </w:r>
          </w:p>
        </w:tc>
        <w:tc>
          <w:tcPr>
            <w:tcW w:w="3384" w:type="dxa"/>
            <w:tcBorders/>
            <w:shd w:fill="F0F4F8" w:val="clear"/>
            <w:vAlign w:val="center"/>
          </w:tcPr>
          <w:p>
            <w:pPr>
              <w:pStyle w:val="Normal"/>
              <w:spacing w:lineRule="auto" w:line="240" w:before="20" w:after="20"/>
              <w:rPr/>
            </w:pPr>
            <w:r>
              <w:rPr>
                <w:b w:val="false"/>
                <w:color w:val="243444"/>
                <w:sz w:val="17"/>
              </w:rPr>
              <w:t>0; resolución o excepción en 1/2 ciclos propuestos.</w:t>
            </w:r>
          </w:p>
        </w:tc>
        <w:tc>
          <w:tcPr>
            <w:tcW w:w="1154" w:type="dxa"/>
            <w:tcBorders/>
            <w:shd w:fill="F0F4F8" w:val="clear"/>
            <w:vAlign w:val="center"/>
          </w:tcPr>
          <w:p>
            <w:pPr>
              <w:pStyle w:val="Normal"/>
              <w:spacing w:lineRule="auto" w:line="240" w:before="20" w:after="20"/>
              <w:rPr/>
            </w:pPr>
            <w:r>
              <w:rPr>
                <w:b w:val="false"/>
                <w:color w:val="243444"/>
                <w:sz w:val="17"/>
              </w:rPr>
              <w:t>Corto</w:t>
            </w:r>
          </w:p>
        </w:tc>
      </w:tr>
      <w:tr>
        <w:trPr>
          <w:cantSplit/>
        </w:trPr>
        <w:tc>
          <w:tcPr>
            <w:tcW w:w="2376" w:type="dxa"/>
            <w:tcBorders/>
            <w:shd w:fill="FFFFFF" w:val="clear"/>
            <w:vAlign w:val="center"/>
          </w:tcPr>
          <w:p>
            <w:pPr>
              <w:pStyle w:val="Normal"/>
              <w:spacing w:lineRule="auto" w:line="240" w:before="20" w:after="20"/>
              <w:rPr/>
            </w:pPr>
            <w:r>
              <w:rPr>
                <w:b w:val="false"/>
                <w:color w:val="243444"/>
                <w:sz w:val="17"/>
              </w:rPr>
              <w:t>QUAL-01 · Complejidad seed</w:t>
            </w:r>
          </w:p>
        </w:tc>
        <w:tc>
          <w:tcPr>
            <w:tcW w:w="934" w:type="dxa"/>
            <w:tcBorders/>
            <w:shd w:fill="FFFFFF" w:val="clear"/>
            <w:vAlign w:val="center"/>
          </w:tcPr>
          <w:p>
            <w:pPr>
              <w:pStyle w:val="Normal"/>
              <w:spacing w:lineRule="auto" w:line="240" w:before="20" w:after="20"/>
              <w:rPr/>
            </w:pPr>
            <w:r>
              <w:rPr>
                <w:b w:val="false"/>
                <w:color w:val="243444"/>
                <w:sz w:val="17"/>
              </w:rPr>
              <w:t>Media</w:t>
            </w:r>
          </w:p>
        </w:tc>
        <w:tc>
          <w:tcPr>
            <w:tcW w:w="2376" w:type="dxa"/>
            <w:tcBorders/>
            <w:shd w:fill="FFFFFF" w:val="clear"/>
            <w:vAlign w:val="center"/>
          </w:tcPr>
          <w:p>
            <w:pPr>
              <w:pStyle w:val="Normal"/>
              <w:spacing w:lineRule="auto" w:line="240" w:before="20" w:after="20"/>
              <w:rPr/>
            </w:pPr>
            <w:r>
              <w:rPr>
                <w:b w:val="false"/>
                <w:color w:val="243444"/>
                <w:sz w:val="17"/>
              </w:rPr>
              <w:t>Issue crítico S3776</w:t>
            </w:r>
          </w:p>
        </w:tc>
        <w:tc>
          <w:tcPr>
            <w:tcW w:w="3384" w:type="dxa"/>
            <w:tcBorders/>
            <w:shd w:fill="FFFFFF" w:val="clear"/>
            <w:vAlign w:val="center"/>
          </w:tcPr>
          <w:p>
            <w:pPr>
              <w:pStyle w:val="Normal"/>
              <w:spacing w:lineRule="auto" w:line="240" w:before="20" w:after="20"/>
              <w:rPr/>
            </w:pPr>
            <w:r>
              <w:rPr>
                <w:b w:val="false"/>
                <w:color w:val="243444"/>
                <w:sz w:val="17"/>
              </w:rPr>
              <w:t>1 → 0; seed idempotente y tests PASS.</w:t>
            </w:r>
          </w:p>
        </w:tc>
        <w:tc>
          <w:tcPr>
            <w:tcW w:w="1154" w:type="dxa"/>
            <w:tcBorders/>
            <w:shd w:fill="FFFFFF" w:val="clear"/>
            <w:vAlign w:val="center"/>
          </w:tcPr>
          <w:p>
            <w:pPr>
              <w:pStyle w:val="Normal"/>
              <w:spacing w:lineRule="auto" w:line="240" w:before="20" w:after="20"/>
              <w:rPr/>
            </w:pPr>
            <w:r>
              <w:rPr>
                <w:b w:val="false"/>
                <w:color w:val="243444"/>
                <w:sz w:val="17"/>
              </w:rPr>
              <w:t>Corto</w:t>
            </w:r>
          </w:p>
        </w:tc>
      </w:tr>
      <w:tr>
        <w:trPr>
          <w:cantSplit/>
        </w:trPr>
        <w:tc>
          <w:tcPr>
            <w:tcW w:w="2376" w:type="dxa"/>
            <w:tcBorders/>
            <w:shd w:fill="F0F4F8" w:val="clear"/>
            <w:vAlign w:val="center"/>
          </w:tcPr>
          <w:p>
            <w:pPr>
              <w:pStyle w:val="Normal"/>
              <w:spacing w:lineRule="auto" w:line="240" w:before="20" w:after="20"/>
              <w:rPr/>
            </w:pPr>
            <w:r>
              <w:rPr>
                <w:b w:val="false"/>
                <w:color w:val="243444"/>
                <w:sz w:val="17"/>
              </w:rPr>
              <w:t>QUAL-02 · Gate por cambio</w:t>
            </w:r>
          </w:p>
        </w:tc>
        <w:tc>
          <w:tcPr>
            <w:tcW w:w="934" w:type="dxa"/>
            <w:tcBorders/>
            <w:shd w:fill="F0F4F8" w:val="clear"/>
            <w:vAlign w:val="center"/>
          </w:tcPr>
          <w:p>
            <w:pPr>
              <w:pStyle w:val="Normal"/>
              <w:spacing w:lineRule="auto" w:line="240" w:before="20" w:after="20"/>
              <w:rPr/>
            </w:pPr>
            <w:r>
              <w:rPr>
                <w:b w:val="false"/>
                <w:color w:val="243444"/>
                <w:sz w:val="17"/>
              </w:rPr>
              <w:t>Alta</w:t>
            </w:r>
          </w:p>
        </w:tc>
        <w:tc>
          <w:tcPr>
            <w:tcW w:w="2376" w:type="dxa"/>
            <w:tcBorders/>
            <w:shd w:fill="F0F4F8" w:val="clear"/>
            <w:vAlign w:val="center"/>
          </w:tcPr>
          <w:p>
            <w:pPr>
              <w:pStyle w:val="Normal"/>
              <w:spacing w:lineRule="auto" w:line="240" w:before="20" w:after="20"/>
              <w:rPr/>
            </w:pPr>
            <w:r>
              <w:rPr>
                <w:b w:val="false"/>
                <w:color w:val="243444"/>
                <w:sz w:val="17"/>
              </w:rPr>
              <w:t>Gate PR/main</w:t>
            </w:r>
          </w:p>
        </w:tc>
        <w:tc>
          <w:tcPr>
            <w:tcW w:w="3384" w:type="dxa"/>
            <w:tcBorders/>
            <w:shd w:fill="F0F4F8" w:val="clear"/>
            <w:vAlign w:val="center"/>
          </w:tcPr>
          <w:p>
            <w:pPr>
              <w:pStyle w:val="Normal"/>
              <w:spacing w:lineRule="auto" w:line="240" w:before="20" w:after="20"/>
              <w:rPr/>
            </w:pPr>
            <w:r>
              <w:rPr>
                <w:b w:val="false"/>
                <w:color w:val="243444"/>
                <w:sz w:val="17"/>
              </w:rPr>
              <w:t>PASS sin rebajar condiciones.</w:t>
            </w:r>
          </w:p>
        </w:tc>
        <w:tc>
          <w:tcPr>
            <w:tcW w:w="1154" w:type="dxa"/>
            <w:tcBorders/>
            <w:shd w:fill="F0F4F8" w:val="clear"/>
            <w:vAlign w:val="center"/>
          </w:tcPr>
          <w:p>
            <w:pPr>
              <w:pStyle w:val="Normal"/>
              <w:spacing w:lineRule="auto" w:line="240" w:before="20" w:after="20"/>
              <w:rPr/>
            </w:pPr>
            <w:r>
              <w:rPr>
                <w:b w:val="false"/>
                <w:color w:val="243444"/>
                <w:sz w:val="17"/>
              </w:rPr>
              <w:t>Mediano</w:t>
            </w:r>
          </w:p>
        </w:tc>
      </w:tr>
      <w:tr>
        <w:trPr>
          <w:cantSplit/>
        </w:trPr>
        <w:tc>
          <w:tcPr>
            <w:tcW w:w="2376" w:type="dxa"/>
            <w:tcBorders/>
            <w:shd w:fill="FFFFFF" w:val="clear"/>
            <w:vAlign w:val="center"/>
          </w:tcPr>
          <w:p>
            <w:pPr>
              <w:pStyle w:val="Normal"/>
              <w:spacing w:lineRule="auto" w:line="240" w:before="20" w:after="20"/>
              <w:rPr/>
            </w:pPr>
            <w:r>
              <w:rPr>
                <w:b w:val="false"/>
                <w:color w:val="243444"/>
                <w:sz w:val="17"/>
              </w:rPr>
              <w:t>QUAL-03 · Deuda técnica</w:t>
            </w:r>
          </w:p>
        </w:tc>
        <w:tc>
          <w:tcPr>
            <w:tcW w:w="934" w:type="dxa"/>
            <w:tcBorders/>
            <w:shd w:fill="FFFFFF" w:val="clear"/>
            <w:vAlign w:val="center"/>
          </w:tcPr>
          <w:p>
            <w:pPr>
              <w:pStyle w:val="Normal"/>
              <w:spacing w:lineRule="auto" w:line="240" w:before="20" w:after="20"/>
              <w:rPr/>
            </w:pPr>
            <w:r>
              <w:rPr>
                <w:b w:val="false"/>
                <w:color w:val="243444"/>
                <w:sz w:val="17"/>
              </w:rPr>
              <w:t>Media</w:t>
            </w:r>
          </w:p>
        </w:tc>
        <w:tc>
          <w:tcPr>
            <w:tcW w:w="2376" w:type="dxa"/>
            <w:tcBorders/>
            <w:shd w:fill="FFFFFF" w:val="clear"/>
            <w:vAlign w:val="center"/>
          </w:tcPr>
          <w:p>
            <w:pPr>
              <w:pStyle w:val="Normal"/>
              <w:spacing w:lineRule="auto" w:line="240" w:before="20" w:after="20"/>
              <w:rPr/>
            </w:pPr>
            <w:r>
              <w:rPr>
                <w:b w:val="false"/>
                <w:color w:val="243444"/>
                <w:sz w:val="17"/>
              </w:rPr>
              <w:t>Minutos estimados Sonar</w:t>
            </w:r>
          </w:p>
        </w:tc>
        <w:tc>
          <w:tcPr>
            <w:tcW w:w="3384" w:type="dxa"/>
            <w:tcBorders/>
            <w:shd w:fill="FFFFFF" w:val="clear"/>
            <w:vAlign w:val="center"/>
          </w:tcPr>
          <w:p>
            <w:pPr>
              <w:pStyle w:val="Normal"/>
              <w:spacing w:lineRule="auto" w:line="240" w:before="20" w:after="20"/>
              <w:rPr/>
            </w:pPr>
            <w:r>
              <w:rPr>
                <w:b w:val="false"/>
                <w:color w:val="243444"/>
                <w:sz w:val="17"/>
              </w:rPr>
              <w:t>Frontend ≤225 en dos ciclos; backend ≤6.</w:t>
            </w:r>
          </w:p>
        </w:tc>
        <w:tc>
          <w:tcPr>
            <w:tcW w:w="1154" w:type="dxa"/>
            <w:tcBorders/>
            <w:shd w:fill="FFFFFF" w:val="clear"/>
            <w:vAlign w:val="center"/>
          </w:tcPr>
          <w:p>
            <w:pPr>
              <w:pStyle w:val="Normal"/>
              <w:spacing w:lineRule="auto" w:line="240" w:before="20" w:after="20"/>
              <w:rPr/>
            </w:pPr>
            <w:r>
              <w:rPr>
                <w:b w:val="false"/>
                <w:color w:val="243444"/>
                <w:sz w:val="17"/>
              </w:rPr>
              <w:t>Mediano</w:t>
            </w:r>
          </w:p>
        </w:tc>
      </w:tr>
      <w:tr>
        <w:trPr>
          <w:cantSplit/>
        </w:trPr>
        <w:tc>
          <w:tcPr>
            <w:tcW w:w="2376" w:type="dxa"/>
            <w:tcBorders/>
            <w:shd w:fill="F0F4F8" w:val="clear"/>
            <w:vAlign w:val="center"/>
          </w:tcPr>
          <w:p>
            <w:pPr>
              <w:pStyle w:val="Normal"/>
              <w:spacing w:lineRule="auto" w:line="240" w:before="20" w:after="20"/>
              <w:rPr/>
            </w:pPr>
            <w:r>
              <w:rPr>
                <w:b w:val="false"/>
                <w:color w:val="243444"/>
                <w:sz w:val="17"/>
              </w:rPr>
              <w:t>TEST-01 · E2E lifecycle</w:t>
            </w:r>
          </w:p>
        </w:tc>
        <w:tc>
          <w:tcPr>
            <w:tcW w:w="934" w:type="dxa"/>
            <w:tcBorders/>
            <w:shd w:fill="F0F4F8" w:val="clear"/>
            <w:vAlign w:val="center"/>
          </w:tcPr>
          <w:p>
            <w:pPr>
              <w:pStyle w:val="Normal"/>
              <w:spacing w:lineRule="auto" w:line="240" w:before="20" w:after="20"/>
              <w:rPr/>
            </w:pPr>
            <w:r>
              <w:rPr>
                <w:b w:val="false"/>
                <w:color w:val="243444"/>
                <w:sz w:val="17"/>
              </w:rPr>
              <w:t>Alta</w:t>
            </w:r>
          </w:p>
        </w:tc>
        <w:tc>
          <w:tcPr>
            <w:tcW w:w="2376" w:type="dxa"/>
            <w:tcBorders/>
            <w:shd w:fill="F0F4F8" w:val="clear"/>
            <w:vAlign w:val="center"/>
          </w:tcPr>
          <w:p>
            <w:pPr>
              <w:pStyle w:val="Normal"/>
              <w:spacing w:lineRule="auto" w:line="240" w:before="20" w:after="20"/>
              <w:rPr/>
            </w:pPr>
            <w:r>
              <w:rPr>
                <w:b w:val="false"/>
                <w:color w:val="243444"/>
                <w:sz w:val="17"/>
              </w:rPr>
              <w:t>Escenarios terminales</w:t>
            </w:r>
          </w:p>
        </w:tc>
        <w:tc>
          <w:tcPr>
            <w:tcW w:w="3384" w:type="dxa"/>
            <w:tcBorders/>
            <w:shd w:fill="F0F4F8" w:val="clear"/>
            <w:vAlign w:val="center"/>
          </w:tcPr>
          <w:p>
            <w:pPr>
              <w:pStyle w:val="Normal"/>
              <w:spacing w:lineRule="auto" w:line="240" w:before="20" w:after="20"/>
              <w:rPr/>
            </w:pPr>
            <w:r>
              <w:rPr>
                <w:b w:val="false"/>
                <w:color w:val="243444"/>
                <w:sz w:val="17"/>
              </w:rPr>
              <w:t>2 PASS desde entorno limpio, con estado/bitácora.</w:t>
            </w:r>
          </w:p>
        </w:tc>
        <w:tc>
          <w:tcPr>
            <w:tcW w:w="1154" w:type="dxa"/>
            <w:tcBorders/>
            <w:shd w:fill="F0F4F8" w:val="clear"/>
            <w:vAlign w:val="center"/>
          </w:tcPr>
          <w:p>
            <w:pPr>
              <w:pStyle w:val="Normal"/>
              <w:spacing w:lineRule="auto" w:line="240" w:before="20" w:after="20"/>
              <w:rPr/>
            </w:pPr>
            <w:r>
              <w:rPr>
                <w:b w:val="false"/>
                <w:color w:val="243444"/>
                <w:sz w:val="17"/>
              </w:rPr>
              <w:t>Corto</w:t>
            </w:r>
          </w:p>
        </w:tc>
      </w:tr>
      <w:tr>
        <w:trPr>
          <w:cantSplit/>
        </w:trPr>
        <w:tc>
          <w:tcPr>
            <w:tcW w:w="2376" w:type="dxa"/>
            <w:tcBorders/>
            <w:shd w:fill="FFFFFF" w:val="clear"/>
            <w:vAlign w:val="center"/>
          </w:tcPr>
          <w:p>
            <w:pPr>
              <w:pStyle w:val="Normal"/>
              <w:spacing w:lineRule="auto" w:line="240" w:before="20" w:after="20"/>
              <w:rPr/>
            </w:pPr>
            <w:r>
              <w:rPr>
                <w:b w:val="false"/>
                <w:color w:val="243444"/>
                <w:sz w:val="17"/>
              </w:rPr>
              <w:t>TEST-02 · Regresiones</w:t>
            </w:r>
          </w:p>
        </w:tc>
        <w:tc>
          <w:tcPr>
            <w:tcW w:w="934" w:type="dxa"/>
            <w:tcBorders/>
            <w:shd w:fill="FFFFFF" w:val="clear"/>
            <w:vAlign w:val="center"/>
          </w:tcPr>
          <w:p>
            <w:pPr>
              <w:pStyle w:val="Normal"/>
              <w:spacing w:lineRule="auto" w:line="240" w:before="20" w:after="20"/>
              <w:rPr/>
            </w:pPr>
            <w:r>
              <w:rPr>
                <w:b w:val="false"/>
                <w:color w:val="243444"/>
                <w:sz w:val="17"/>
              </w:rPr>
              <w:t>Alta</w:t>
            </w:r>
          </w:p>
        </w:tc>
        <w:tc>
          <w:tcPr>
            <w:tcW w:w="2376" w:type="dxa"/>
            <w:tcBorders/>
            <w:shd w:fill="FFFFFF" w:val="clear"/>
            <w:vAlign w:val="center"/>
          </w:tcPr>
          <w:p>
            <w:pPr>
              <w:pStyle w:val="Normal"/>
              <w:spacing w:lineRule="auto" w:line="240" w:before="20" w:after="20"/>
              <w:rPr/>
            </w:pPr>
            <w:r>
              <w:rPr>
                <w:b w:val="false"/>
                <w:color w:val="243444"/>
                <w:sz w:val="17"/>
              </w:rPr>
              <w:t>Hallazgos corregidos con test</w:t>
            </w:r>
          </w:p>
        </w:tc>
        <w:tc>
          <w:tcPr>
            <w:tcW w:w="3384" w:type="dxa"/>
            <w:tcBorders/>
            <w:shd w:fill="FFFFFF" w:val="clear"/>
            <w:vAlign w:val="center"/>
          </w:tcPr>
          <w:p>
            <w:pPr>
              <w:pStyle w:val="Normal"/>
              <w:spacing w:lineRule="auto" w:line="240" w:before="20" w:after="20"/>
              <w:rPr/>
            </w:pPr>
            <w:r>
              <w:rPr>
                <w:b w:val="false"/>
                <w:color w:val="243444"/>
                <w:sz w:val="17"/>
              </w:rPr>
              <w:t>100% de High/Medium corregidos.</w:t>
            </w:r>
          </w:p>
        </w:tc>
        <w:tc>
          <w:tcPr>
            <w:tcW w:w="1154" w:type="dxa"/>
            <w:tcBorders/>
            <w:shd w:fill="FFFFFF" w:val="clear"/>
            <w:vAlign w:val="center"/>
          </w:tcPr>
          <w:p>
            <w:pPr>
              <w:pStyle w:val="Normal"/>
              <w:spacing w:lineRule="auto" w:line="240" w:before="20" w:after="20"/>
              <w:rPr/>
            </w:pPr>
            <w:r>
              <w:rPr>
                <w:b w:val="false"/>
                <w:color w:val="243444"/>
                <w:sz w:val="17"/>
              </w:rPr>
              <w:t>Corto</w:t>
            </w:r>
          </w:p>
        </w:tc>
      </w:tr>
      <w:tr>
        <w:trPr>
          <w:cantSplit/>
        </w:trPr>
        <w:tc>
          <w:tcPr>
            <w:tcW w:w="2376" w:type="dxa"/>
            <w:tcBorders/>
            <w:shd w:fill="F0F4F8" w:val="clear"/>
            <w:vAlign w:val="center"/>
          </w:tcPr>
          <w:p>
            <w:pPr>
              <w:pStyle w:val="Normal"/>
              <w:spacing w:lineRule="auto" w:line="240" w:before="20" w:after="20"/>
              <w:rPr/>
            </w:pPr>
            <w:r>
              <w:rPr>
                <w:b w:val="false"/>
                <w:color w:val="243444"/>
                <w:sz w:val="17"/>
              </w:rPr>
              <w:t>TEST-03 · Cobertura</w:t>
            </w:r>
          </w:p>
        </w:tc>
        <w:tc>
          <w:tcPr>
            <w:tcW w:w="934" w:type="dxa"/>
            <w:tcBorders/>
            <w:shd w:fill="F0F4F8" w:val="clear"/>
            <w:vAlign w:val="center"/>
          </w:tcPr>
          <w:p>
            <w:pPr>
              <w:pStyle w:val="Normal"/>
              <w:spacing w:lineRule="auto" w:line="240" w:before="20" w:after="20"/>
              <w:rPr/>
            </w:pPr>
            <w:r>
              <w:rPr>
                <w:b w:val="false"/>
                <w:color w:val="243444"/>
                <w:sz w:val="17"/>
              </w:rPr>
              <w:t>Alta</w:t>
            </w:r>
          </w:p>
        </w:tc>
        <w:tc>
          <w:tcPr>
            <w:tcW w:w="2376" w:type="dxa"/>
            <w:tcBorders/>
            <w:shd w:fill="F0F4F8" w:val="clear"/>
            <w:vAlign w:val="center"/>
          </w:tcPr>
          <w:p>
            <w:pPr>
              <w:pStyle w:val="Normal"/>
              <w:spacing w:lineRule="auto" w:line="240" w:before="20" w:after="20"/>
              <w:rPr/>
            </w:pPr>
            <w:r>
              <w:rPr>
                <w:b w:val="false"/>
                <w:color w:val="243444"/>
                <w:sz w:val="17"/>
              </w:rPr>
              <w:t>Rust/Jest/Sonar por alcance</w:t>
            </w:r>
          </w:p>
        </w:tc>
        <w:tc>
          <w:tcPr>
            <w:tcW w:w="3384" w:type="dxa"/>
            <w:tcBorders/>
            <w:shd w:fill="F0F4F8" w:val="clear"/>
            <w:vAlign w:val="center"/>
          </w:tcPr>
          <w:p>
            <w:pPr>
              <w:pStyle w:val="Normal"/>
              <w:spacing w:lineRule="auto" w:line="240" w:before="20" w:after="20"/>
              <w:rPr/>
            </w:pPr>
            <w:r>
              <w:rPr>
                <w:b w:val="false"/>
                <w:color w:val="243444"/>
                <w:sz w:val="17"/>
              </w:rPr>
              <w:t>Rust líneas y cuatro métricas Jest ≥80%; Sonar total ≥80%.</w:t>
            </w:r>
          </w:p>
        </w:tc>
        <w:tc>
          <w:tcPr>
            <w:tcW w:w="1154" w:type="dxa"/>
            <w:tcBorders/>
            <w:shd w:fill="F0F4F8" w:val="clear"/>
            <w:vAlign w:val="center"/>
          </w:tcPr>
          <w:p>
            <w:pPr>
              <w:pStyle w:val="Normal"/>
              <w:spacing w:lineRule="auto" w:line="240" w:before="20" w:after="20"/>
              <w:rPr/>
            </w:pPr>
            <w:r>
              <w:rPr>
                <w:b w:val="false"/>
                <w:color w:val="243444"/>
                <w:sz w:val="17"/>
              </w:rPr>
              <w:t>Corto/mediano</w:t>
            </w:r>
          </w:p>
        </w:tc>
      </w:tr>
      <w:tr>
        <w:trPr>
          <w:cantSplit/>
        </w:trPr>
        <w:tc>
          <w:tcPr>
            <w:tcW w:w="2376" w:type="dxa"/>
            <w:tcBorders/>
            <w:shd w:fill="FFFFFF" w:val="clear"/>
            <w:vAlign w:val="center"/>
          </w:tcPr>
          <w:p>
            <w:pPr>
              <w:pStyle w:val="Normal"/>
              <w:spacing w:lineRule="auto" w:line="240" w:before="20" w:after="20"/>
              <w:rPr/>
            </w:pPr>
            <w:r>
              <w:rPr>
                <w:b w:val="false"/>
                <w:color w:val="243444"/>
                <w:sz w:val="17"/>
              </w:rPr>
              <w:t>CI-01 · Runs remotos</w:t>
            </w:r>
          </w:p>
        </w:tc>
        <w:tc>
          <w:tcPr>
            <w:tcW w:w="934" w:type="dxa"/>
            <w:tcBorders/>
            <w:shd w:fill="FFFFFF" w:val="clear"/>
            <w:vAlign w:val="center"/>
          </w:tcPr>
          <w:p>
            <w:pPr>
              <w:pStyle w:val="Normal"/>
              <w:spacing w:lineRule="auto" w:line="240" w:before="20" w:after="20"/>
              <w:rPr/>
            </w:pPr>
            <w:r>
              <w:rPr>
                <w:b w:val="false"/>
                <w:color w:val="243444"/>
                <w:sz w:val="17"/>
              </w:rPr>
              <w:t>Alta</w:t>
            </w:r>
          </w:p>
        </w:tc>
        <w:tc>
          <w:tcPr>
            <w:tcW w:w="2376" w:type="dxa"/>
            <w:tcBorders/>
            <w:shd w:fill="FFFFFF" w:val="clear"/>
            <w:vAlign w:val="center"/>
          </w:tcPr>
          <w:p>
            <w:pPr>
              <w:pStyle w:val="Normal"/>
              <w:spacing w:lineRule="auto" w:line="240" w:before="20" w:after="20"/>
              <w:rPr/>
            </w:pPr>
            <w:r>
              <w:rPr>
                <w:b w:val="false"/>
                <w:color w:val="243444"/>
                <w:sz w:val="17"/>
              </w:rPr>
              <w:t>PR y main acreditados</w:t>
            </w:r>
          </w:p>
        </w:tc>
        <w:tc>
          <w:tcPr>
            <w:tcW w:w="3384" w:type="dxa"/>
            <w:tcBorders/>
            <w:shd w:fill="FFFFFF" w:val="clear"/>
            <w:vAlign w:val="center"/>
          </w:tcPr>
          <w:p>
            <w:pPr>
              <w:pStyle w:val="Normal"/>
              <w:spacing w:lineRule="auto" w:line="240" w:before="20" w:after="20"/>
              <w:rPr/>
            </w:pPr>
            <w:r>
              <w:rPr>
                <w:b w:val="false"/>
                <w:color w:val="243444"/>
                <w:sz w:val="17"/>
              </w:rPr>
              <w:t>Meta inicial cumplida; conservar evidencia futura.</w:t>
            </w:r>
          </w:p>
        </w:tc>
        <w:tc>
          <w:tcPr>
            <w:tcW w:w="1154" w:type="dxa"/>
            <w:tcBorders/>
            <w:shd w:fill="FFFFFF" w:val="clear"/>
            <w:vAlign w:val="center"/>
          </w:tcPr>
          <w:p>
            <w:pPr>
              <w:pStyle w:val="Normal"/>
              <w:spacing w:lineRule="auto" w:line="240" w:before="20" w:after="20"/>
              <w:rPr/>
            </w:pPr>
            <w:r>
              <w:rPr>
                <w:b w:val="false"/>
                <w:color w:val="243444"/>
                <w:sz w:val="17"/>
              </w:rPr>
              <w:t>Corto; cumplida</w:t>
            </w:r>
          </w:p>
        </w:tc>
      </w:tr>
      <w:tr>
        <w:trPr>
          <w:cantSplit/>
        </w:trPr>
        <w:tc>
          <w:tcPr>
            <w:tcW w:w="2376" w:type="dxa"/>
            <w:tcBorders/>
            <w:shd w:fill="F0F4F8" w:val="clear"/>
            <w:vAlign w:val="center"/>
          </w:tcPr>
          <w:p>
            <w:pPr>
              <w:pStyle w:val="Normal"/>
              <w:spacing w:lineRule="auto" w:line="240" w:before="20" w:after="20"/>
              <w:rPr/>
            </w:pPr>
            <w:r>
              <w:rPr>
                <w:b w:val="false"/>
                <w:color w:val="243444"/>
                <w:sz w:val="17"/>
              </w:rPr>
              <w:t>CI-02 · Deploy reproducible</w:t>
            </w:r>
          </w:p>
        </w:tc>
        <w:tc>
          <w:tcPr>
            <w:tcW w:w="934" w:type="dxa"/>
            <w:tcBorders/>
            <w:shd w:fill="F0F4F8" w:val="clear"/>
            <w:vAlign w:val="center"/>
          </w:tcPr>
          <w:p>
            <w:pPr>
              <w:pStyle w:val="Normal"/>
              <w:spacing w:lineRule="auto" w:line="240" w:before="20" w:after="20"/>
              <w:rPr/>
            </w:pPr>
            <w:r>
              <w:rPr>
                <w:b w:val="false"/>
                <w:color w:val="243444"/>
                <w:sz w:val="17"/>
              </w:rPr>
              <w:t>Alta</w:t>
            </w:r>
          </w:p>
        </w:tc>
        <w:tc>
          <w:tcPr>
            <w:tcW w:w="2376" w:type="dxa"/>
            <w:tcBorders/>
            <w:shd w:fill="F0F4F8" w:val="clear"/>
            <w:vAlign w:val="center"/>
          </w:tcPr>
          <w:p>
            <w:pPr>
              <w:pStyle w:val="Normal"/>
              <w:spacing w:lineRule="auto" w:line="240" w:before="20" w:after="20"/>
              <w:rPr/>
            </w:pPr>
            <w:r>
              <w:rPr>
                <w:b w:val="false"/>
                <w:color w:val="243444"/>
                <w:sz w:val="17"/>
              </w:rPr>
              <w:t>Smoke y cleanup</w:t>
            </w:r>
          </w:p>
        </w:tc>
        <w:tc>
          <w:tcPr>
            <w:tcW w:w="3384" w:type="dxa"/>
            <w:tcBorders/>
            <w:shd w:fill="F0F4F8" w:val="clear"/>
            <w:vAlign w:val="center"/>
          </w:tcPr>
          <w:p>
            <w:pPr>
              <w:pStyle w:val="Normal"/>
              <w:spacing w:lineRule="auto" w:line="240" w:before="20" w:after="20"/>
              <w:rPr/>
            </w:pPr>
            <w:r>
              <w:rPr>
                <w:b w:val="false"/>
                <w:color w:val="243444"/>
                <w:sz w:val="17"/>
              </w:rPr>
              <w:t>5/5 HTTP 200 y down -v PASS.</w:t>
            </w:r>
          </w:p>
        </w:tc>
        <w:tc>
          <w:tcPr>
            <w:tcW w:w="1154" w:type="dxa"/>
            <w:tcBorders/>
            <w:shd w:fill="F0F4F8" w:val="clear"/>
            <w:vAlign w:val="center"/>
          </w:tcPr>
          <w:p>
            <w:pPr>
              <w:pStyle w:val="Normal"/>
              <w:spacing w:lineRule="auto" w:line="240" w:before="20" w:after="20"/>
              <w:rPr/>
            </w:pPr>
            <w:r>
              <w:rPr>
                <w:b w:val="false"/>
                <w:color w:val="243444"/>
                <w:sz w:val="17"/>
              </w:rPr>
              <w:t>Corto</w:t>
            </w:r>
          </w:p>
        </w:tc>
      </w:tr>
      <w:tr>
        <w:trPr>
          <w:cantSplit/>
        </w:trPr>
        <w:tc>
          <w:tcPr>
            <w:tcW w:w="2376" w:type="dxa"/>
            <w:tcBorders/>
            <w:shd w:fill="FFFFFF" w:val="clear"/>
            <w:vAlign w:val="center"/>
          </w:tcPr>
          <w:p>
            <w:pPr>
              <w:pStyle w:val="Normal"/>
              <w:spacing w:lineRule="auto" w:line="240" w:before="20" w:after="20"/>
              <w:rPr/>
            </w:pPr>
            <w:r>
              <w:rPr>
                <w:b w:val="false"/>
                <w:color w:val="243444"/>
                <w:sz w:val="17"/>
              </w:rPr>
              <w:t>CI-03 · Sonar/ZAP en CI</w:t>
            </w:r>
          </w:p>
        </w:tc>
        <w:tc>
          <w:tcPr>
            <w:tcW w:w="934" w:type="dxa"/>
            <w:tcBorders/>
            <w:shd w:fill="FFFFFF" w:val="clear"/>
            <w:vAlign w:val="center"/>
          </w:tcPr>
          <w:p>
            <w:pPr>
              <w:pStyle w:val="Normal"/>
              <w:spacing w:lineRule="auto" w:line="240" w:before="20" w:after="20"/>
              <w:rPr/>
            </w:pPr>
            <w:r>
              <w:rPr>
                <w:b w:val="false"/>
                <w:color w:val="243444"/>
                <w:sz w:val="17"/>
              </w:rPr>
              <w:t>Media</w:t>
            </w:r>
          </w:p>
        </w:tc>
        <w:tc>
          <w:tcPr>
            <w:tcW w:w="2376" w:type="dxa"/>
            <w:tcBorders/>
            <w:shd w:fill="FFFFFF" w:val="clear"/>
            <w:vAlign w:val="center"/>
          </w:tcPr>
          <w:p>
            <w:pPr>
              <w:pStyle w:val="Normal"/>
              <w:spacing w:lineRule="auto" w:line="240" w:before="20" w:after="20"/>
              <w:rPr/>
            </w:pPr>
            <w:r>
              <w:rPr>
                <w:b w:val="false"/>
                <w:color w:val="243444"/>
                <w:sz w:val="17"/>
              </w:rPr>
              <w:t>Reportes por PR/main</w:t>
            </w:r>
          </w:p>
        </w:tc>
        <w:tc>
          <w:tcPr>
            <w:tcW w:w="3384" w:type="dxa"/>
            <w:tcBorders/>
            <w:shd w:fill="FFFFFF" w:val="clear"/>
            <w:vAlign w:val="center"/>
          </w:tcPr>
          <w:p>
            <w:pPr>
              <w:pStyle w:val="Normal"/>
              <w:spacing w:lineRule="auto" w:line="240" w:before="20" w:after="20"/>
              <w:rPr/>
            </w:pPr>
            <w:r>
              <w:rPr>
                <w:b w:val="false"/>
                <w:color w:val="243444"/>
                <w:sz w:val="17"/>
              </w:rPr>
              <w:t>Gate y baseline; 0 High y 0 Medium sin decisión.</w:t>
            </w:r>
          </w:p>
        </w:tc>
        <w:tc>
          <w:tcPr>
            <w:tcW w:w="1154" w:type="dxa"/>
            <w:tcBorders/>
            <w:shd w:fill="FFFFFF" w:val="clear"/>
            <w:vAlign w:val="center"/>
          </w:tcPr>
          <w:p>
            <w:pPr>
              <w:pStyle w:val="Normal"/>
              <w:spacing w:lineRule="auto" w:line="240" w:before="20" w:after="20"/>
              <w:rPr/>
            </w:pPr>
            <w:r>
              <w:rPr>
                <w:b w:val="false"/>
                <w:color w:val="243444"/>
                <w:sz w:val="17"/>
              </w:rPr>
              <w:t>Mediano</w:t>
            </w:r>
          </w:p>
        </w:tc>
      </w:tr>
      <w:tr>
        <w:trPr>
          <w:cantSplit/>
        </w:trPr>
        <w:tc>
          <w:tcPr>
            <w:tcW w:w="2376" w:type="dxa"/>
            <w:tcBorders/>
            <w:shd w:fill="F0F4F8" w:val="clear"/>
            <w:vAlign w:val="center"/>
          </w:tcPr>
          <w:p>
            <w:pPr>
              <w:pStyle w:val="Normal"/>
              <w:spacing w:lineRule="auto" w:line="240" w:before="20" w:after="20"/>
              <w:rPr/>
            </w:pPr>
            <w:r>
              <w:rPr>
                <w:b w:val="false"/>
                <w:color w:val="243444"/>
                <w:sz w:val="17"/>
              </w:rPr>
              <w:t>OPS-01 · Observabilidad</w:t>
            </w:r>
          </w:p>
        </w:tc>
        <w:tc>
          <w:tcPr>
            <w:tcW w:w="934" w:type="dxa"/>
            <w:tcBorders/>
            <w:shd w:fill="F0F4F8" w:val="clear"/>
            <w:vAlign w:val="center"/>
          </w:tcPr>
          <w:p>
            <w:pPr>
              <w:pStyle w:val="Normal"/>
              <w:spacing w:lineRule="auto" w:line="240" w:before="20" w:after="20"/>
              <w:rPr/>
            </w:pPr>
            <w:r>
              <w:rPr>
                <w:b w:val="false"/>
                <w:color w:val="243444"/>
                <w:sz w:val="17"/>
              </w:rPr>
              <w:t>Media</w:t>
            </w:r>
          </w:p>
        </w:tc>
        <w:tc>
          <w:tcPr>
            <w:tcW w:w="2376" w:type="dxa"/>
            <w:tcBorders/>
            <w:shd w:fill="F0F4F8" w:val="clear"/>
            <w:vAlign w:val="center"/>
          </w:tcPr>
          <w:p>
            <w:pPr>
              <w:pStyle w:val="Normal"/>
              <w:spacing w:lineRule="auto" w:line="240" w:before="20" w:after="20"/>
              <w:rPr/>
            </w:pPr>
            <w:r>
              <w:rPr>
                <w:b w:val="false"/>
                <w:color w:val="243444"/>
                <w:sz w:val="17"/>
              </w:rPr>
              <w:t>Reporte de errores y p95</w:t>
            </w:r>
          </w:p>
        </w:tc>
        <w:tc>
          <w:tcPr>
            <w:tcW w:w="3384" w:type="dxa"/>
            <w:tcBorders/>
            <w:shd w:fill="F0F4F8" w:val="clear"/>
            <w:vAlign w:val="center"/>
          </w:tcPr>
          <w:p>
            <w:pPr>
              <w:pStyle w:val="Normal"/>
              <w:spacing w:lineRule="auto" w:line="240" w:before="20" w:after="20"/>
              <w:rPr/>
            </w:pPr>
            <w:r>
              <w:rPr>
                <w:b w:val="false"/>
                <w:color w:val="243444"/>
                <w:sz w:val="17"/>
              </w:rPr>
              <w:t>100% de releases de prueba; medir baseline antes de fijar latencia.</w:t>
            </w:r>
          </w:p>
        </w:tc>
        <w:tc>
          <w:tcPr>
            <w:tcW w:w="1154" w:type="dxa"/>
            <w:tcBorders/>
            <w:shd w:fill="F0F4F8" w:val="clear"/>
            <w:vAlign w:val="center"/>
          </w:tcPr>
          <w:p>
            <w:pPr>
              <w:pStyle w:val="Normal"/>
              <w:spacing w:lineRule="auto" w:line="240" w:before="20" w:after="20"/>
              <w:rPr/>
            </w:pPr>
            <w:r>
              <w:rPr>
                <w:b w:val="false"/>
                <w:color w:val="243444"/>
                <w:sz w:val="17"/>
              </w:rPr>
              <w:t>Mediano</w:t>
            </w:r>
          </w:p>
        </w:tc>
      </w:tr>
    </w:tbl>
    <w:p>
      <w:pPr>
        <w:pStyle w:val="Normal"/>
        <w:rPr/>
      </w:pPr>
      <w:r>
        <w:rPr/>
        <w:t>El smoke UI-01 ya demostró los dos desenlaces del flujo en navegador; TEST-01 sigue abierto para una suite repetible integrada en CI con assertions de estado, bitácora y ownership. La acción de cobertura usa como baseline actualizado Jest 98.04% líneas, sin reemplazar la medición Sonar histórica. No se presupone una nueva ejecución remota del análisis de calidad tras el rediseño.</w:t>
      </w:r>
      <w:r>
        <w:br w:type="page"/>
      </w:r>
    </w:p>
    <w:p>
      <w:pPr>
        <w:pStyle w:val="Heading2"/>
        <w:spacing w:before="0" w:after="100"/>
        <w:rPr/>
      </w:pPr>
      <w:r>
        <w:rPr/>
        <w:t>7.2 Acciones priorizadas (continuación)</w:t>
      </w:r>
    </w:p>
    <w:p>
      <w:pPr>
        <w:pStyle w:val="Normal"/>
        <w:keepNext w:val="true"/>
        <w:rPr/>
      </w:pPr>
      <w:r>
        <w:rPr>
          <w:sz w:val="18"/>
        </w:rPr>
        <w:t>Tabla 14. Producto, datos e inteligencia artificial</w:t>
      </w:r>
    </w:p>
    <w:tbl>
      <w:tblPr>
        <w:tblW w:w="10224" w:type="dxa"/>
        <w:jc w:val="center"/>
        <w:tblInd w:w="0" w:type="dxa"/>
        <w:tblLayout w:type="fixed"/>
        <w:tblCellMar>
          <w:top w:w="35" w:type="dxa"/>
          <w:start w:w="55" w:type="dxa"/>
          <w:bottom w:w="35" w:type="dxa"/>
          <w:end w:w="55" w:type="dxa"/>
        </w:tblCellMar>
        <w:tblLook w:noHBand="0" w:noVBand="1" w:firstColumn="1" w:lastRow="0" w:lastColumn="0" w:firstRow="1" w:val="04a0"/>
      </w:tblPr>
      <w:tblGrid>
        <w:gridCol w:w="2520"/>
        <w:gridCol w:w="1008"/>
        <w:gridCol w:w="5472"/>
        <w:gridCol w:w="1224"/>
      </w:tblGrid>
      <w:tr>
        <w:trPr>
          <w:tblHeader w:val="true"/>
          <w:cantSplit/>
        </w:trPr>
        <w:tc>
          <w:tcPr>
            <w:tcW w:w="2520" w:type="dxa"/>
            <w:tcBorders/>
            <w:shd w:fill="19385F" w:val="clear"/>
            <w:vAlign w:val="center"/>
          </w:tcPr>
          <w:p>
            <w:pPr>
              <w:pStyle w:val="Normal"/>
              <w:spacing w:lineRule="auto" w:line="240" w:before="20" w:after="20"/>
              <w:rPr/>
            </w:pPr>
            <w:r>
              <w:rPr>
                <w:b/>
                <w:color w:val="FFFFFF"/>
                <w:sz w:val="17"/>
              </w:rPr>
              <w:t>Acción</w:t>
            </w:r>
          </w:p>
        </w:tc>
        <w:tc>
          <w:tcPr>
            <w:tcW w:w="1008" w:type="dxa"/>
            <w:tcBorders/>
            <w:shd w:fill="19385F" w:val="clear"/>
            <w:vAlign w:val="center"/>
          </w:tcPr>
          <w:p>
            <w:pPr>
              <w:pStyle w:val="Normal"/>
              <w:spacing w:lineRule="auto" w:line="240" w:before="20" w:after="20"/>
              <w:rPr/>
            </w:pPr>
            <w:r>
              <w:rPr>
                <w:b/>
                <w:color w:val="FFFFFF"/>
                <w:sz w:val="17"/>
              </w:rPr>
              <w:t>Prioridad</w:t>
            </w:r>
          </w:p>
        </w:tc>
        <w:tc>
          <w:tcPr>
            <w:tcW w:w="5472" w:type="dxa"/>
            <w:tcBorders/>
            <w:shd w:fill="19385F" w:val="clear"/>
            <w:vAlign w:val="center"/>
          </w:tcPr>
          <w:p>
            <w:pPr>
              <w:pStyle w:val="Normal"/>
              <w:spacing w:lineRule="auto" w:line="240" w:before="20" w:after="20"/>
              <w:rPr/>
            </w:pPr>
            <w:r>
              <w:rPr>
                <w:b/>
                <w:color w:val="FFFFFF"/>
                <w:sz w:val="17"/>
              </w:rPr>
              <w:t>KPI y meta propuesta</w:t>
            </w:r>
          </w:p>
        </w:tc>
        <w:tc>
          <w:tcPr>
            <w:tcW w:w="1224" w:type="dxa"/>
            <w:tcBorders/>
            <w:shd w:fill="19385F" w:val="clear"/>
            <w:vAlign w:val="center"/>
          </w:tcPr>
          <w:p>
            <w:pPr>
              <w:pStyle w:val="Normal"/>
              <w:spacing w:lineRule="auto" w:line="240" w:before="20" w:after="20"/>
              <w:rPr/>
            </w:pPr>
            <w:r>
              <w:rPr>
                <w:b/>
                <w:color w:val="FFFFFF"/>
                <w:sz w:val="17"/>
              </w:rPr>
              <w:t>Horizonte</w:t>
            </w:r>
          </w:p>
        </w:tc>
      </w:tr>
      <w:tr>
        <w:trPr>
          <w:cantSplit/>
        </w:trPr>
        <w:tc>
          <w:tcPr>
            <w:tcW w:w="2520" w:type="dxa"/>
            <w:tcBorders/>
            <w:shd w:fill="F0F4F8" w:val="clear"/>
            <w:vAlign w:val="center"/>
          </w:tcPr>
          <w:p>
            <w:pPr>
              <w:pStyle w:val="Normal"/>
              <w:spacing w:lineRule="auto" w:line="240" w:before="20" w:after="20"/>
              <w:rPr/>
            </w:pPr>
            <w:r>
              <w:rPr>
                <w:b w:val="false"/>
                <w:color w:val="243444"/>
                <w:sz w:val="17"/>
              </w:rPr>
              <w:t>PROD-01 · Usabilidad</w:t>
            </w:r>
          </w:p>
        </w:tc>
        <w:tc>
          <w:tcPr>
            <w:tcW w:w="1008" w:type="dxa"/>
            <w:tcBorders/>
            <w:shd w:fill="F0F4F8" w:val="clear"/>
            <w:vAlign w:val="center"/>
          </w:tcPr>
          <w:p>
            <w:pPr>
              <w:pStyle w:val="Normal"/>
              <w:spacing w:lineRule="auto" w:line="240" w:before="20" w:after="20"/>
              <w:rPr/>
            </w:pPr>
            <w:r>
              <w:rPr>
                <w:b w:val="false"/>
                <w:color w:val="243444"/>
                <w:sz w:val="17"/>
              </w:rPr>
              <w:t>Media</w:t>
            </w:r>
          </w:p>
        </w:tc>
        <w:tc>
          <w:tcPr>
            <w:tcW w:w="5472" w:type="dxa"/>
            <w:tcBorders/>
            <w:shd w:fill="F0F4F8" w:val="clear"/>
            <w:vAlign w:val="center"/>
          </w:tcPr>
          <w:p>
            <w:pPr>
              <w:pStyle w:val="Normal"/>
              <w:spacing w:lineRule="auto" w:line="240" w:before="20" w:after="20"/>
              <w:rPr/>
            </w:pPr>
            <w:r>
              <w:rPr>
                <w:b w:val="false"/>
                <w:color w:val="243444"/>
                <w:sz w:val="17"/>
              </w:rPr>
              <w:t>2 sesiones por rol Empresa/ONG, tareas y fricciones documentadas.</w:t>
            </w:r>
          </w:p>
        </w:tc>
        <w:tc>
          <w:tcPr>
            <w:tcW w:w="1224" w:type="dxa"/>
            <w:tcBorders/>
            <w:shd w:fill="F0F4F8" w:val="clear"/>
            <w:vAlign w:val="center"/>
          </w:tcPr>
          <w:p>
            <w:pPr>
              <w:pStyle w:val="Normal"/>
              <w:spacing w:lineRule="auto" w:line="240" w:before="20" w:after="20"/>
              <w:rPr/>
            </w:pPr>
            <w:r>
              <w:rPr>
                <w:b w:val="false"/>
                <w:color w:val="243444"/>
                <w:sz w:val="17"/>
              </w:rPr>
              <w:t>Mediano</w:t>
            </w:r>
          </w:p>
        </w:tc>
      </w:tr>
      <w:tr>
        <w:trPr>
          <w:cantSplit/>
        </w:trPr>
        <w:tc>
          <w:tcPr>
            <w:tcW w:w="2520" w:type="dxa"/>
            <w:tcBorders/>
            <w:shd w:fill="FFFFFF" w:val="clear"/>
            <w:vAlign w:val="center"/>
          </w:tcPr>
          <w:p>
            <w:pPr>
              <w:pStyle w:val="Normal"/>
              <w:spacing w:lineRule="auto" w:line="240" w:before="20" w:after="20"/>
              <w:rPr/>
            </w:pPr>
            <w:r>
              <w:rPr>
                <w:b w:val="false"/>
                <w:color w:val="243444"/>
                <w:sz w:val="17"/>
              </w:rPr>
              <w:t>DATA-01 · Unidades/peso</w:t>
            </w:r>
          </w:p>
        </w:tc>
        <w:tc>
          <w:tcPr>
            <w:tcW w:w="1008" w:type="dxa"/>
            <w:tcBorders/>
            <w:shd w:fill="FFFFFF" w:val="clear"/>
            <w:vAlign w:val="center"/>
          </w:tcPr>
          <w:p>
            <w:pPr>
              <w:pStyle w:val="Normal"/>
              <w:spacing w:lineRule="auto" w:line="240" w:before="20" w:after="20"/>
              <w:rPr/>
            </w:pPr>
            <w:r>
              <w:rPr>
                <w:b w:val="false"/>
                <w:color w:val="243444"/>
                <w:sz w:val="17"/>
              </w:rPr>
              <w:t>Media</w:t>
            </w:r>
          </w:p>
        </w:tc>
        <w:tc>
          <w:tcPr>
            <w:tcW w:w="5472" w:type="dxa"/>
            <w:tcBorders/>
            <w:shd w:fill="FFFFFF" w:val="clear"/>
            <w:vAlign w:val="center"/>
          </w:tcPr>
          <w:p>
            <w:pPr>
              <w:pStyle w:val="Normal"/>
              <w:spacing w:lineRule="auto" w:line="240" w:before="20" w:after="20"/>
              <w:rPr/>
            </w:pPr>
            <w:r>
              <w:rPr>
                <w:b w:val="false"/>
                <w:color w:val="243444"/>
                <w:sz w:val="17"/>
              </w:rPr>
              <w:t>100% de nuevas donaciones con unidad; 0 métricas kg sin peso verificable.</w:t>
            </w:r>
          </w:p>
        </w:tc>
        <w:tc>
          <w:tcPr>
            <w:tcW w:w="1224" w:type="dxa"/>
            <w:tcBorders/>
            <w:shd w:fill="FFFFFF" w:val="clear"/>
            <w:vAlign w:val="center"/>
          </w:tcPr>
          <w:p>
            <w:pPr>
              <w:pStyle w:val="Normal"/>
              <w:spacing w:lineRule="auto" w:line="240" w:before="20" w:after="20"/>
              <w:rPr/>
            </w:pPr>
            <w:r>
              <w:rPr>
                <w:b w:val="false"/>
                <w:color w:val="243444"/>
                <w:sz w:val="17"/>
              </w:rPr>
              <w:t>Mediano</w:t>
            </w:r>
          </w:p>
        </w:tc>
      </w:tr>
      <w:tr>
        <w:trPr>
          <w:cantSplit/>
        </w:trPr>
        <w:tc>
          <w:tcPr>
            <w:tcW w:w="2520" w:type="dxa"/>
            <w:tcBorders/>
            <w:shd w:fill="F0F4F8" w:val="clear"/>
            <w:vAlign w:val="center"/>
          </w:tcPr>
          <w:p>
            <w:pPr>
              <w:pStyle w:val="Normal"/>
              <w:spacing w:lineRule="auto" w:line="240" w:before="20" w:after="20"/>
              <w:rPr/>
            </w:pPr>
            <w:r>
              <w:rPr>
                <w:b w:val="false"/>
                <w:color w:val="243444"/>
                <w:sz w:val="17"/>
              </w:rPr>
              <w:t>DATA-02 · CO₂e</w:t>
            </w:r>
          </w:p>
        </w:tc>
        <w:tc>
          <w:tcPr>
            <w:tcW w:w="1008" w:type="dxa"/>
            <w:tcBorders/>
            <w:shd w:fill="F0F4F8" w:val="clear"/>
            <w:vAlign w:val="center"/>
          </w:tcPr>
          <w:p>
            <w:pPr>
              <w:pStyle w:val="Normal"/>
              <w:spacing w:lineRule="auto" w:line="240" w:before="20" w:after="20"/>
              <w:rPr/>
            </w:pPr>
            <w:r>
              <w:rPr>
                <w:b w:val="false"/>
                <w:color w:val="243444"/>
                <w:sz w:val="17"/>
              </w:rPr>
              <w:t>Media</w:t>
            </w:r>
          </w:p>
        </w:tc>
        <w:tc>
          <w:tcPr>
            <w:tcW w:w="5472" w:type="dxa"/>
            <w:tcBorders/>
            <w:shd w:fill="F0F4F8" w:val="clear"/>
            <w:vAlign w:val="center"/>
          </w:tcPr>
          <w:p>
            <w:pPr>
              <w:pStyle w:val="Normal"/>
              <w:spacing w:lineRule="auto" w:line="240" w:before="20" w:after="20"/>
              <w:rPr/>
            </w:pPr>
            <w:r>
              <w:rPr>
                <w:b w:val="false"/>
                <w:color w:val="243444"/>
                <w:sz w:val="17"/>
              </w:rPr>
              <w:t>100% de factores con fuente, vigencia y unidad; 0 cálculos sin unidad válida.</w:t>
            </w:r>
          </w:p>
        </w:tc>
        <w:tc>
          <w:tcPr>
            <w:tcW w:w="1224" w:type="dxa"/>
            <w:tcBorders/>
            <w:shd w:fill="F0F4F8" w:val="clear"/>
            <w:vAlign w:val="center"/>
          </w:tcPr>
          <w:p>
            <w:pPr>
              <w:pStyle w:val="Normal"/>
              <w:spacing w:lineRule="auto" w:line="240" w:before="20" w:after="20"/>
              <w:rPr/>
            </w:pPr>
            <w:r>
              <w:rPr>
                <w:b w:val="false"/>
                <w:color w:val="243444"/>
                <w:sz w:val="17"/>
              </w:rPr>
              <w:t>Mediano</w:t>
            </w:r>
          </w:p>
        </w:tc>
      </w:tr>
      <w:tr>
        <w:trPr>
          <w:cantSplit/>
        </w:trPr>
        <w:tc>
          <w:tcPr>
            <w:tcW w:w="2520" w:type="dxa"/>
            <w:tcBorders/>
            <w:shd w:fill="FFFFFF" w:val="clear"/>
            <w:vAlign w:val="center"/>
          </w:tcPr>
          <w:p>
            <w:pPr>
              <w:pStyle w:val="Normal"/>
              <w:spacing w:lineRule="auto" w:line="240" w:before="20" w:after="20"/>
              <w:rPr/>
            </w:pPr>
            <w:r>
              <w:rPr>
                <w:b w:val="false"/>
                <w:color w:val="243444"/>
                <w:sz w:val="17"/>
              </w:rPr>
              <w:t>DATA-03 · Beneficiarios</w:t>
            </w:r>
          </w:p>
        </w:tc>
        <w:tc>
          <w:tcPr>
            <w:tcW w:w="1008" w:type="dxa"/>
            <w:tcBorders/>
            <w:shd w:fill="FFFFFF" w:val="clear"/>
            <w:vAlign w:val="center"/>
          </w:tcPr>
          <w:p>
            <w:pPr>
              <w:pStyle w:val="Normal"/>
              <w:spacing w:lineRule="auto" w:line="240" w:before="20" w:after="20"/>
              <w:rPr/>
            </w:pPr>
            <w:r>
              <w:rPr>
                <w:b w:val="false"/>
                <w:color w:val="243444"/>
                <w:sz w:val="17"/>
              </w:rPr>
              <w:t>Media</w:t>
            </w:r>
          </w:p>
        </w:tc>
        <w:tc>
          <w:tcPr>
            <w:tcW w:w="5472" w:type="dxa"/>
            <w:tcBorders/>
            <w:shd w:fill="FFFFFF" w:val="clear"/>
            <w:vAlign w:val="center"/>
          </w:tcPr>
          <w:p>
            <w:pPr>
              <w:pStyle w:val="Normal"/>
              <w:spacing w:lineRule="auto" w:line="240" w:before="20" w:after="20"/>
              <w:rPr/>
            </w:pPr>
            <w:r>
              <w:rPr>
                <w:b w:val="false"/>
                <w:color w:val="243444"/>
                <w:sz w:val="17"/>
              </w:rPr>
              <w:t>0 constantes sin fuente; 100% de cifras trazables y observadas/estimadas.</w:t>
            </w:r>
          </w:p>
        </w:tc>
        <w:tc>
          <w:tcPr>
            <w:tcW w:w="1224" w:type="dxa"/>
            <w:tcBorders/>
            <w:shd w:fill="FFFFFF" w:val="clear"/>
            <w:vAlign w:val="center"/>
          </w:tcPr>
          <w:p>
            <w:pPr>
              <w:pStyle w:val="Normal"/>
              <w:spacing w:lineRule="auto" w:line="240" w:before="20" w:after="20"/>
              <w:rPr/>
            </w:pPr>
            <w:r>
              <w:rPr>
                <w:b w:val="false"/>
                <w:color w:val="243444"/>
                <w:sz w:val="17"/>
              </w:rPr>
              <w:t>Mediano</w:t>
            </w:r>
          </w:p>
        </w:tc>
      </w:tr>
      <w:tr>
        <w:trPr>
          <w:cantSplit/>
        </w:trPr>
        <w:tc>
          <w:tcPr>
            <w:tcW w:w="2520" w:type="dxa"/>
            <w:tcBorders/>
            <w:shd w:fill="F0F4F8" w:val="clear"/>
            <w:vAlign w:val="center"/>
          </w:tcPr>
          <w:p>
            <w:pPr>
              <w:pStyle w:val="Normal"/>
              <w:spacing w:lineRule="auto" w:line="240" w:before="20" w:after="20"/>
              <w:rPr/>
            </w:pPr>
            <w:r>
              <w:rPr>
                <w:b w:val="false"/>
                <w:color w:val="243444"/>
                <w:sz w:val="17"/>
              </w:rPr>
              <w:t>GEO-01 · Recogida real</w:t>
            </w:r>
          </w:p>
        </w:tc>
        <w:tc>
          <w:tcPr>
            <w:tcW w:w="1008" w:type="dxa"/>
            <w:tcBorders/>
            <w:shd w:fill="F0F4F8" w:val="clear"/>
            <w:vAlign w:val="center"/>
          </w:tcPr>
          <w:p>
            <w:pPr>
              <w:pStyle w:val="Normal"/>
              <w:spacing w:lineRule="auto" w:line="240" w:before="20" w:after="20"/>
              <w:rPr/>
            </w:pPr>
            <w:r>
              <w:rPr>
                <w:b w:val="false"/>
                <w:color w:val="243444"/>
                <w:sz w:val="17"/>
              </w:rPr>
              <w:t>Media</w:t>
            </w:r>
          </w:p>
        </w:tc>
        <w:tc>
          <w:tcPr>
            <w:tcW w:w="5472" w:type="dxa"/>
            <w:tcBorders/>
            <w:shd w:fill="F0F4F8" w:val="clear"/>
            <w:vAlign w:val="center"/>
          </w:tcPr>
          <w:p>
            <w:pPr>
              <w:pStyle w:val="Normal"/>
              <w:spacing w:lineRule="auto" w:line="240" w:before="20" w:after="20"/>
              <w:rPr/>
            </w:pPr>
            <w:r>
              <w:rPr>
                <w:b w:val="false"/>
                <w:color w:val="243444"/>
                <w:sz w:val="17"/>
              </w:rPr>
              <w:t>100% de distance_km desde coordenadas validadas; 0 desde origen fijo.</w:t>
            </w:r>
          </w:p>
        </w:tc>
        <w:tc>
          <w:tcPr>
            <w:tcW w:w="1224" w:type="dxa"/>
            <w:tcBorders/>
            <w:shd w:fill="F0F4F8" w:val="clear"/>
            <w:vAlign w:val="center"/>
          </w:tcPr>
          <w:p>
            <w:pPr>
              <w:pStyle w:val="Normal"/>
              <w:spacing w:lineRule="auto" w:line="240" w:before="20" w:after="20"/>
              <w:rPr/>
            </w:pPr>
            <w:r>
              <w:rPr>
                <w:b w:val="false"/>
                <w:color w:val="243444"/>
                <w:sz w:val="17"/>
              </w:rPr>
              <w:t>Mediano</w:t>
            </w:r>
          </w:p>
        </w:tc>
      </w:tr>
      <w:tr>
        <w:trPr>
          <w:cantSplit/>
        </w:trPr>
        <w:tc>
          <w:tcPr>
            <w:tcW w:w="2520" w:type="dxa"/>
            <w:tcBorders/>
            <w:shd w:fill="FFFFFF" w:val="clear"/>
            <w:vAlign w:val="center"/>
          </w:tcPr>
          <w:p>
            <w:pPr>
              <w:pStyle w:val="Normal"/>
              <w:spacing w:lineRule="auto" w:line="240" w:before="20" w:after="20"/>
              <w:rPr/>
            </w:pPr>
            <w:r>
              <w:rPr>
                <w:b w:val="false"/>
                <w:color w:val="243444"/>
                <w:sz w:val="17"/>
              </w:rPr>
              <w:t>URG-01 · Urgencia ONG</w:t>
            </w:r>
          </w:p>
        </w:tc>
        <w:tc>
          <w:tcPr>
            <w:tcW w:w="1008" w:type="dxa"/>
            <w:tcBorders/>
            <w:shd w:fill="FFFFFF" w:val="clear"/>
            <w:vAlign w:val="center"/>
          </w:tcPr>
          <w:p>
            <w:pPr>
              <w:pStyle w:val="Normal"/>
              <w:spacing w:lineRule="auto" w:line="240" w:before="20" w:after="20"/>
              <w:rPr/>
            </w:pPr>
            <w:r>
              <w:rPr>
                <w:b w:val="false"/>
                <w:color w:val="243444"/>
                <w:sz w:val="17"/>
              </w:rPr>
              <w:t>Media</w:t>
            </w:r>
          </w:p>
        </w:tc>
        <w:tc>
          <w:tcPr>
            <w:tcW w:w="5472" w:type="dxa"/>
            <w:tcBorders/>
            <w:shd w:fill="FFFFFF" w:val="clear"/>
            <w:vAlign w:val="center"/>
          </w:tcPr>
          <w:p>
            <w:pPr>
              <w:pStyle w:val="Normal"/>
              <w:spacing w:lineRule="auto" w:line="240" w:before="20" w:after="20"/>
              <w:rPr/>
            </w:pPr>
            <w:r>
              <w:rPr>
                <w:b w:val="false"/>
                <w:color w:val="243444"/>
                <w:sz w:val="17"/>
              </w:rPr>
              <w:t>0 urgencias ficticias; fuente/fecha o desconocida en 100% de valores.</w:t>
            </w:r>
          </w:p>
        </w:tc>
        <w:tc>
          <w:tcPr>
            <w:tcW w:w="1224" w:type="dxa"/>
            <w:tcBorders/>
            <w:shd w:fill="FFFFFF" w:val="clear"/>
            <w:vAlign w:val="center"/>
          </w:tcPr>
          <w:p>
            <w:pPr>
              <w:pStyle w:val="Normal"/>
              <w:spacing w:lineRule="auto" w:line="240" w:before="20" w:after="20"/>
              <w:rPr/>
            </w:pPr>
            <w:r>
              <w:rPr>
                <w:b w:val="false"/>
                <w:color w:val="243444"/>
                <w:sz w:val="17"/>
              </w:rPr>
              <w:t>Mediano</w:t>
            </w:r>
          </w:p>
        </w:tc>
      </w:tr>
      <w:tr>
        <w:trPr>
          <w:cantSplit/>
        </w:trPr>
        <w:tc>
          <w:tcPr>
            <w:tcW w:w="2520" w:type="dxa"/>
            <w:tcBorders/>
            <w:shd w:fill="F0F4F8" w:val="clear"/>
            <w:vAlign w:val="center"/>
          </w:tcPr>
          <w:p>
            <w:pPr>
              <w:pStyle w:val="Normal"/>
              <w:spacing w:lineRule="auto" w:line="240" w:before="20" w:after="20"/>
              <w:rPr/>
            </w:pPr>
            <w:r>
              <w:rPr>
                <w:b w:val="false"/>
                <w:color w:val="243444"/>
                <w:sz w:val="17"/>
              </w:rPr>
              <w:t>AI-01 · Groq configurable</w:t>
            </w:r>
          </w:p>
        </w:tc>
        <w:tc>
          <w:tcPr>
            <w:tcW w:w="1008" w:type="dxa"/>
            <w:tcBorders/>
            <w:shd w:fill="F0F4F8" w:val="clear"/>
            <w:vAlign w:val="center"/>
          </w:tcPr>
          <w:p>
            <w:pPr>
              <w:pStyle w:val="Normal"/>
              <w:spacing w:lineRule="auto" w:line="240" w:before="20" w:after="20"/>
              <w:rPr/>
            </w:pPr>
            <w:r>
              <w:rPr>
                <w:b w:val="false"/>
                <w:color w:val="243444"/>
                <w:sz w:val="17"/>
              </w:rPr>
              <w:t>Media</w:t>
            </w:r>
          </w:p>
        </w:tc>
        <w:tc>
          <w:tcPr>
            <w:tcW w:w="5472" w:type="dxa"/>
            <w:tcBorders/>
            <w:shd w:fill="F0F4F8" w:val="clear"/>
            <w:vAlign w:val="center"/>
          </w:tcPr>
          <w:p>
            <w:pPr>
              <w:pStyle w:val="Normal"/>
              <w:spacing w:lineRule="auto" w:line="240" w:before="20" w:after="20"/>
              <w:rPr/>
            </w:pPr>
            <w:r>
              <w:rPr>
                <w:b w:val="false"/>
                <w:color w:val="243444"/>
                <w:sz w:val="17"/>
              </w:rPr>
              <w:t>Tests timeout/respuesta inválida/sin credencial PASS; fallback en 100%.</w:t>
            </w:r>
          </w:p>
        </w:tc>
        <w:tc>
          <w:tcPr>
            <w:tcW w:w="1224" w:type="dxa"/>
            <w:tcBorders/>
            <w:shd w:fill="F0F4F8" w:val="clear"/>
            <w:vAlign w:val="center"/>
          </w:tcPr>
          <w:p>
            <w:pPr>
              <w:pStyle w:val="Normal"/>
              <w:spacing w:lineRule="auto" w:line="240" w:before="20" w:after="20"/>
              <w:rPr/>
            </w:pPr>
            <w:r>
              <w:rPr>
                <w:b w:val="false"/>
                <w:color w:val="243444"/>
                <w:sz w:val="17"/>
              </w:rPr>
              <w:t>Mediano</w:t>
            </w:r>
          </w:p>
        </w:tc>
      </w:tr>
      <w:tr>
        <w:trPr>
          <w:cantSplit/>
        </w:trPr>
        <w:tc>
          <w:tcPr>
            <w:tcW w:w="2520" w:type="dxa"/>
            <w:tcBorders/>
            <w:shd w:fill="FFFFFF" w:val="clear"/>
            <w:vAlign w:val="center"/>
          </w:tcPr>
          <w:p>
            <w:pPr>
              <w:pStyle w:val="Normal"/>
              <w:spacing w:lineRule="auto" w:line="240" w:before="20" w:after="20"/>
              <w:rPr/>
            </w:pPr>
            <w:r>
              <w:rPr>
                <w:b w:val="false"/>
                <w:color w:val="243444"/>
                <w:sz w:val="17"/>
              </w:rPr>
              <w:t>AI-02 · IA explicativa</w:t>
            </w:r>
          </w:p>
        </w:tc>
        <w:tc>
          <w:tcPr>
            <w:tcW w:w="1008" w:type="dxa"/>
            <w:tcBorders/>
            <w:shd w:fill="FFFFFF" w:val="clear"/>
            <w:vAlign w:val="center"/>
          </w:tcPr>
          <w:p>
            <w:pPr>
              <w:pStyle w:val="Normal"/>
              <w:spacing w:lineRule="auto" w:line="240" w:before="20" w:after="20"/>
              <w:rPr/>
            </w:pPr>
            <w:r>
              <w:rPr>
                <w:b w:val="false"/>
                <w:color w:val="243444"/>
                <w:sz w:val="17"/>
              </w:rPr>
              <w:t>Media</w:t>
            </w:r>
          </w:p>
        </w:tc>
        <w:tc>
          <w:tcPr>
            <w:tcW w:w="5472" w:type="dxa"/>
            <w:tcBorders/>
            <w:shd w:fill="FFFFFF" w:val="clear"/>
            <w:vAlign w:val="center"/>
          </w:tcPr>
          <w:p>
            <w:pPr>
              <w:pStyle w:val="Normal"/>
              <w:spacing w:lineRule="auto" w:line="240" w:before="20" w:after="20"/>
              <w:rPr/>
            </w:pPr>
            <w:r>
              <w:rPr>
                <w:b w:val="false"/>
                <w:color w:val="243444"/>
                <w:sz w:val="17"/>
              </w:rPr>
              <w:t>100% de rankings idénticos con IA activa, fallida o desactivada.</w:t>
            </w:r>
          </w:p>
        </w:tc>
        <w:tc>
          <w:tcPr>
            <w:tcW w:w="1224" w:type="dxa"/>
            <w:tcBorders/>
            <w:shd w:fill="FFFFFF" w:val="clear"/>
            <w:vAlign w:val="center"/>
          </w:tcPr>
          <w:p>
            <w:pPr>
              <w:pStyle w:val="Normal"/>
              <w:spacing w:lineRule="auto" w:line="240" w:before="20" w:after="20"/>
              <w:rPr/>
            </w:pPr>
            <w:r>
              <w:rPr>
                <w:b w:val="false"/>
                <w:color w:val="243444"/>
                <w:sz w:val="17"/>
              </w:rPr>
              <w:t>Mediano</w:t>
            </w:r>
          </w:p>
        </w:tc>
      </w:tr>
      <w:tr>
        <w:trPr>
          <w:cantSplit/>
        </w:trPr>
        <w:tc>
          <w:tcPr>
            <w:tcW w:w="2520" w:type="dxa"/>
            <w:tcBorders/>
            <w:shd w:fill="F0F4F8" w:val="clear"/>
            <w:vAlign w:val="center"/>
          </w:tcPr>
          <w:p>
            <w:pPr>
              <w:pStyle w:val="Normal"/>
              <w:spacing w:lineRule="auto" w:line="240" w:before="20" w:after="20"/>
              <w:rPr/>
            </w:pPr>
            <w:r>
              <w:rPr>
                <w:b w:val="false"/>
                <w:color w:val="243444"/>
                <w:sz w:val="17"/>
              </w:rPr>
              <w:t>AI-03 · Embeddings</w:t>
            </w:r>
          </w:p>
        </w:tc>
        <w:tc>
          <w:tcPr>
            <w:tcW w:w="1008" w:type="dxa"/>
            <w:tcBorders/>
            <w:shd w:fill="F0F4F8" w:val="clear"/>
            <w:vAlign w:val="center"/>
          </w:tcPr>
          <w:p>
            <w:pPr>
              <w:pStyle w:val="Normal"/>
              <w:spacing w:lineRule="auto" w:line="240" w:before="20" w:after="20"/>
              <w:rPr/>
            </w:pPr>
            <w:r>
              <w:rPr>
                <w:b w:val="false"/>
                <w:color w:val="243444"/>
                <w:sz w:val="17"/>
              </w:rPr>
              <w:t>Baja</w:t>
            </w:r>
          </w:p>
        </w:tc>
        <w:tc>
          <w:tcPr>
            <w:tcW w:w="5472" w:type="dxa"/>
            <w:tcBorders/>
            <w:shd w:fill="F0F4F8" w:val="clear"/>
            <w:vAlign w:val="center"/>
          </w:tcPr>
          <w:p>
            <w:pPr>
              <w:pStyle w:val="Normal"/>
              <w:spacing w:lineRule="auto" w:line="240" w:before="20" w:after="20"/>
              <w:rPr/>
            </w:pPr>
            <w:r>
              <w:rPr>
                <w:b w:val="false"/>
                <w:color w:val="243444"/>
                <w:sz w:val="17"/>
              </w:rPr>
              <w:t>≥</w:t>
            </w:r>
            <w:r>
              <w:rPr>
                <w:b w:val="false"/>
                <w:color w:val="243444"/>
                <w:sz w:val="17"/>
              </w:rPr>
              <w:t>30 consultas etiquetadas; medir NDCG@5 y exigir mejora propuesta ≥5 pp.</w:t>
            </w:r>
          </w:p>
        </w:tc>
        <w:tc>
          <w:tcPr>
            <w:tcW w:w="1224" w:type="dxa"/>
            <w:tcBorders/>
            <w:shd w:fill="F0F4F8" w:val="clear"/>
            <w:vAlign w:val="center"/>
          </w:tcPr>
          <w:p>
            <w:pPr>
              <w:pStyle w:val="Normal"/>
              <w:spacing w:lineRule="auto" w:line="240" w:before="20" w:after="20"/>
              <w:rPr/>
            </w:pPr>
            <w:r>
              <w:rPr>
                <w:b w:val="false"/>
                <w:color w:val="243444"/>
                <w:sz w:val="17"/>
              </w:rPr>
              <w:t>Largo</w:t>
            </w:r>
          </w:p>
        </w:tc>
      </w:tr>
    </w:tbl>
    <w:p>
      <w:pPr>
        <w:pStyle w:val="Heading2"/>
        <w:rPr/>
      </w:pPr>
      <w:r>
        <w:rPr/>
        <w:t>7.3 KPIs</w:t>
      </w:r>
    </w:p>
    <w:p>
      <w:pPr>
        <w:pStyle w:val="Normal"/>
        <w:rPr/>
      </w:pPr>
      <w:r>
        <w:rPr/>
        <w:t>El seguimiento conserva baselines: ZAP Medium 1; gate PASS local; deuda 250/6 min; cobertura Sonar 77.8%/77.9%; módulo Rust 85.91% y Jest final 98.04% líneas. Tests y gate se proponen por PR/main; ZAP por release de prueba; deuda por ciclo de análisis. Evidencia esperada: JSON de scans, LCOV, logs E2E y enlaces de CI. Los nuevos experimentos requieren medir primero su baseline.</w:t>
      </w:r>
    </w:p>
    <w:p>
      <w:pPr>
        <w:pStyle w:val="Heading2"/>
        <w:rPr/>
      </w:pPr>
      <w:r>
        <w:rPr/>
        <w:t>7.4 Roadmap</w:t>
      </w:r>
    </w:p>
    <w:p>
      <w:pPr>
        <w:pStyle w:val="Normal"/>
        <w:rPr/>
      </w:pPr>
      <w:r>
        <w:rPr/>
        <w:t>Corto plazo: CSP, scan autenticado, E2E, regresiones, seed y conservación del smoke remoto. Mediano: gate y seguridad en CI, datos/metodologías, ubicación, urgencia, observabilidad y Groq con fallback. Largo: benchmark de embeddings y experimentos de optimización, predicción y trazabilidad ESG. El orden depende de disponer de datos válidos antes de evaluar modelos.</w:t>
      </w:r>
    </w:p>
    <w:p>
      <w:pPr>
        <w:pStyle w:val="Heading2"/>
        <w:rPr/>
      </w:pPr>
      <w:r>
        <w:rPr/>
        <w:t>7.5 Innovaciones</w:t>
      </w:r>
    </w:p>
    <w:p>
      <w:pPr>
        <w:pStyle w:val="Normal"/>
        <w:keepNext w:val="true"/>
        <w:rPr/>
      </w:pPr>
      <w:r>
        <w:rPr>
          <w:sz w:val="18"/>
        </w:rPr>
        <w:t>Tabla 15. Experimentos futuros: prioridad Baja, horizonte largo</w:t>
      </w:r>
    </w:p>
    <w:tbl>
      <w:tblPr>
        <w:tblW w:w="10224" w:type="dxa"/>
        <w:jc w:val="center"/>
        <w:tblInd w:w="0" w:type="dxa"/>
        <w:tblLayout w:type="fixed"/>
        <w:tblCellMar>
          <w:top w:w="35" w:type="dxa"/>
          <w:start w:w="55" w:type="dxa"/>
          <w:bottom w:w="35" w:type="dxa"/>
          <w:end w:w="55" w:type="dxa"/>
        </w:tblCellMar>
        <w:tblLook w:noHBand="0" w:noVBand="1" w:firstColumn="1" w:lastRow="0" w:lastColumn="0" w:firstRow="1" w:val="04a0"/>
      </w:tblPr>
      <w:tblGrid>
        <w:gridCol w:w="3238"/>
        <w:gridCol w:w="3386"/>
        <w:gridCol w:w="3600"/>
      </w:tblGrid>
      <w:tr>
        <w:trPr>
          <w:tblHeader w:val="true"/>
          <w:cantSplit/>
        </w:trPr>
        <w:tc>
          <w:tcPr>
            <w:tcW w:w="3238" w:type="dxa"/>
            <w:tcBorders/>
            <w:shd w:fill="19385F" w:val="clear"/>
            <w:vAlign w:val="center"/>
          </w:tcPr>
          <w:p>
            <w:pPr>
              <w:pStyle w:val="Normal"/>
              <w:spacing w:lineRule="auto" w:line="240" w:before="20" w:after="20"/>
              <w:rPr/>
            </w:pPr>
            <w:r>
              <w:rPr>
                <w:b/>
                <w:color w:val="FFFFFF"/>
                <w:sz w:val="16"/>
              </w:rPr>
              <w:t>Propuesta / hipótesis</w:t>
            </w:r>
          </w:p>
        </w:tc>
        <w:tc>
          <w:tcPr>
            <w:tcW w:w="3386" w:type="dxa"/>
            <w:tcBorders/>
            <w:shd w:fill="19385F" w:val="clear"/>
            <w:vAlign w:val="center"/>
          </w:tcPr>
          <w:p>
            <w:pPr>
              <w:pStyle w:val="Normal"/>
              <w:spacing w:lineRule="auto" w:line="240" w:before="20" w:after="20"/>
              <w:rPr/>
            </w:pPr>
            <w:r>
              <w:rPr>
                <w:b/>
                <w:color w:val="FFFFFF"/>
                <w:sz w:val="16"/>
              </w:rPr>
              <w:t>Datos y MVP</w:t>
            </w:r>
          </w:p>
        </w:tc>
        <w:tc>
          <w:tcPr>
            <w:tcW w:w="3600" w:type="dxa"/>
            <w:tcBorders/>
            <w:shd w:fill="19385F" w:val="clear"/>
            <w:vAlign w:val="center"/>
          </w:tcPr>
          <w:p>
            <w:pPr>
              <w:pStyle w:val="Normal"/>
              <w:spacing w:lineRule="auto" w:line="240" w:before="20" w:after="20"/>
              <w:rPr/>
            </w:pPr>
            <w:r>
              <w:rPr>
                <w:b/>
                <w:color w:val="FFFFFF"/>
                <w:sz w:val="16"/>
              </w:rPr>
              <w:t>Meta / riesgos</w:t>
            </w:r>
          </w:p>
        </w:tc>
      </w:tr>
      <w:tr>
        <w:trPr>
          <w:cantSplit/>
        </w:trPr>
        <w:tc>
          <w:tcPr>
            <w:tcW w:w="3238" w:type="dxa"/>
            <w:tcBorders/>
            <w:shd w:fill="F0F4F8" w:val="clear"/>
            <w:vAlign w:val="center"/>
          </w:tcPr>
          <w:p>
            <w:pPr>
              <w:pStyle w:val="Normal"/>
              <w:spacing w:lineRule="auto" w:line="240" w:before="20" w:after="20"/>
              <w:rPr/>
            </w:pPr>
            <w:r>
              <w:rPr>
                <w:b w:val="false"/>
                <w:color w:val="243444"/>
                <w:sz w:val="16"/>
              </w:rPr>
              <w:t>INNO-01 · Optimización de rutas: agrupar recogidas podría reducir distancia.</w:t>
            </w:r>
          </w:p>
        </w:tc>
        <w:tc>
          <w:tcPr>
            <w:tcW w:w="3386" w:type="dxa"/>
            <w:tcBorders/>
            <w:shd w:fill="F0F4F8" w:val="clear"/>
            <w:vAlign w:val="center"/>
          </w:tcPr>
          <w:p>
            <w:pPr>
              <w:pStyle w:val="Normal"/>
              <w:spacing w:lineRule="auto" w:line="240" w:before="20" w:after="20"/>
              <w:rPr/>
            </w:pPr>
            <w:r>
              <w:rPr>
                <w:b w:val="false"/>
                <w:color w:val="243444"/>
                <w:sz w:val="16"/>
              </w:rPr>
              <w:t>Coordenadas, capacidad y ventanas; simulador offline frente a regla de cercanía.</w:t>
            </w:r>
          </w:p>
        </w:tc>
        <w:tc>
          <w:tcPr>
            <w:tcW w:w="3600" w:type="dxa"/>
            <w:tcBorders/>
            <w:shd w:fill="F0F4F8" w:val="clear"/>
            <w:vAlign w:val="center"/>
          </w:tcPr>
          <w:p>
            <w:pPr>
              <w:pStyle w:val="Normal"/>
              <w:spacing w:lineRule="auto" w:line="240" w:before="20" w:after="20"/>
              <w:rPr/>
            </w:pPr>
            <w:r>
              <w:rPr>
                <w:b w:val="false"/>
                <w:color w:val="243444"/>
                <w:sz w:val="16"/>
              </w:rPr>
              <w:t>≥</w:t>
            </w:r>
            <w:r>
              <w:rPr>
                <w:b w:val="false"/>
                <w:color w:val="243444"/>
                <w:sz w:val="16"/>
              </w:rPr>
              <w:t>10% menos distancia mediana sin incumplir ventanas. Riesgo: geodatos incompletos y privacidad.</w:t>
            </w:r>
          </w:p>
        </w:tc>
      </w:tr>
      <w:tr>
        <w:trPr>
          <w:cantSplit/>
        </w:trPr>
        <w:tc>
          <w:tcPr>
            <w:tcW w:w="3238" w:type="dxa"/>
            <w:tcBorders/>
            <w:shd w:fill="FFFFFF" w:val="clear"/>
            <w:vAlign w:val="center"/>
          </w:tcPr>
          <w:p>
            <w:pPr>
              <w:pStyle w:val="Normal"/>
              <w:spacing w:lineRule="auto" w:line="240" w:before="20" w:after="20"/>
              <w:rPr/>
            </w:pPr>
            <w:r>
              <w:rPr>
                <w:b w:val="false"/>
                <w:color w:val="243444"/>
                <w:sz w:val="16"/>
              </w:rPr>
              <w:t>INNO-02 · Pronóstico de demanda: historial permitiría anticipar necesidades.</w:t>
            </w:r>
          </w:p>
        </w:tc>
        <w:tc>
          <w:tcPr>
            <w:tcW w:w="3386" w:type="dxa"/>
            <w:tcBorders/>
            <w:shd w:fill="FFFFFF" w:val="clear"/>
            <w:vAlign w:val="center"/>
          </w:tcPr>
          <w:p>
            <w:pPr>
              <w:pStyle w:val="Normal"/>
              <w:spacing w:lineRule="auto" w:line="240" w:before="20" w:after="20"/>
              <w:rPr/>
            </w:pPr>
            <w:r>
              <w:rPr>
                <w:b w:val="false"/>
                <w:color w:val="243444"/>
                <w:sz w:val="16"/>
              </w:rPr>
              <w:t>Urgencia y entregas fechadas; pronóstico offline de una categoría con revisión humana.</w:t>
            </w:r>
          </w:p>
        </w:tc>
        <w:tc>
          <w:tcPr>
            <w:tcW w:w="3600" w:type="dxa"/>
            <w:tcBorders/>
            <w:shd w:fill="FFFFFF" w:val="clear"/>
            <w:vAlign w:val="center"/>
          </w:tcPr>
          <w:p>
            <w:pPr>
              <w:pStyle w:val="Normal"/>
              <w:spacing w:lineRule="auto" w:line="240" w:before="20" w:after="20"/>
              <w:rPr/>
            </w:pPr>
            <w:r>
              <w:rPr>
                <w:b w:val="false"/>
                <w:color w:val="243444"/>
                <w:sz w:val="16"/>
              </w:rPr>
              <w:t>≥</w:t>
            </w:r>
            <w:r>
              <w:rPr>
                <w:b w:val="false"/>
                <w:color w:val="243444"/>
                <w:sz w:val="16"/>
              </w:rPr>
              <w:t>10% menos error absoluto medio frente a baseline ingenuo. Riesgo: escasez de datos y sesgo.</w:t>
            </w:r>
          </w:p>
        </w:tc>
      </w:tr>
      <w:tr>
        <w:trPr>
          <w:cantSplit/>
        </w:trPr>
        <w:tc>
          <w:tcPr>
            <w:tcW w:w="3238" w:type="dxa"/>
            <w:tcBorders/>
            <w:shd w:fill="F0F4F8" w:val="clear"/>
            <w:vAlign w:val="center"/>
          </w:tcPr>
          <w:p>
            <w:pPr>
              <w:pStyle w:val="Normal"/>
              <w:spacing w:lineRule="auto" w:line="240" w:before="20" w:after="20"/>
              <w:rPr/>
            </w:pPr>
            <w:r>
              <w:rPr>
                <w:b w:val="false"/>
                <w:color w:val="243444"/>
                <w:sz w:val="16"/>
              </w:rPr>
              <w:t>INNO-03 · Ficha ESG: trazabilidad haría auditables cifras de impacto.</w:t>
            </w:r>
          </w:p>
        </w:tc>
        <w:tc>
          <w:tcPr>
            <w:tcW w:w="3386" w:type="dxa"/>
            <w:tcBorders/>
            <w:shd w:fill="F0F4F8" w:val="clear"/>
            <w:vAlign w:val="center"/>
          </w:tcPr>
          <w:p>
            <w:pPr>
              <w:pStyle w:val="Normal"/>
              <w:spacing w:lineRule="auto" w:line="240" w:before="20" w:after="20"/>
              <w:rPr/>
            </w:pPr>
            <w:r>
              <w:rPr>
                <w:b w:val="false"/>
                <w:color w:val="243444"/>
                <w:sz w:val="16"/>
              </w:rPr>
              <w:t>Unidad, factores versionados y bitácora; ficha de una entrega con método explícito.</w:t>
            </w:r>
          </w:p>
        </w:tc>
        <w:tc>
          <w:tcPr>
            <w:tcW w:w="3600" w:type="dxa"/>
            <w:tcBorders/>
            <w:shd w:fill="F0F4F8" w:val="clear"/>
            <w:vAlign w:val="center"/>
          </w:tcPr>
          <w:p>
            <w:pPr>
              <w:pStyle w:val="Normal"/>
              <w:spacing w:lineRule="auto" w:line="240" w:before="20" w:after="20"/>
              <w:rPr/>
            </w:pPr>
            <w:r>
              <w:rPr>
                <w:b w:val="false"/>
                <w:color w:val="243444"/>
                <w:sz w:val="16"/>
              </w:rPr>
              <w:t>100% de cifras trazables, 0 sin método. Riesgo: doble conteo y falsa precisión.</w:t>
            </w:r>
          </w:p>
        </w:tc>
      </w:tr>
    </w:tbl>
    <w:p>
      <w:pPr>
        <w:pStyle w:val="Normal"/>
        <w:rPr/>
      </w:pPr>
      <w:r>
        <w:rPr>
          <w:sz w:val="18"/>
        </w:rPr>
        <w:t>Los baselines experimentales todavía no están medidos. Estas metas son criterios futuros de adopción, no beneficios ya obtenidos. Ninguna innovación sustituye el ranking determinista ni autoriza publicar datos sensibles.</w:t>
      </w:r>
      <w:r>
        <w:br w:type="page"/>
      </w:r>
    </w:p>
    <w:p>
      <w:pPr>
        <w:pStyle w:val="Heading1"/>
        <w:spacing w:before="0" w:after="100"/>
        <w:rPr/>
      </w:pPr>
      <w:r>
        <w:rPr/>
        <w:t>8. Conclusión</w:t>
      </w:r>
    </w:p>
    <w:p>
      <w:pPr>
        <w:pStyle w:val="Normal"/>
        <w:rPr/>
      </w:pPr>
      <w:r>
        <w:rPr/>
        <w:t>FERXARP acredita un módulo funcional con identidad JWT, roles y controles de propiedad, acompañado de pruebas y cobertura delimitada. El pipeline remoto integra pruebas, construcción y despliegue automatizado de prueba. La evaluación ZAP, Chromium y SonarQube permitió identificar y corregir problemas concretos y documentar métricas, manteniendo visible la CSP pendiente y otros límites de cobertura y análisis.</w:t>
      </w:r>
    </w:p>
    <w:p>
      <w:pPr>
        <w:pStyle w:val="Normal"/>
        <w:rPr/>
      </w:pPr>
      <w:r>
        <w:rPr/>
        <w:t>El cierre relaciona los cambios con commits y evidencias; compara alcance y secuencia sin inventar retrasos. La mejora continua conserva acciones medibles, prioridades, dependencias y propuestas de innovación futuras. El rediseño final hace más clara la operación y corrige la interpretación de la ubicación del usuario, sin atribuir precisión a datos geográficos o estimaciones que todavía no están validados.</w:t>
      </w:r>
    </w:p>
    <w:p>
      <w:pPr>
        <w:pStyle w:val="Normal"/>
        <w:rPr/>
      </w:pPr>
      <w:r>
        <w:rPr/>
        <w:t>La evidencia responde a los cinco criterios de la actividad en sus alcances comprobados. No acredita producción, seguridad absoluta ni impacto ambiental certificado. El valor de la entrega radica en la trazabilidad entre implementación, pruebas, hallazgos, correcciones y decisiones de mejora; sus riesgos residuales quedan explícitos para orientar la siguiente etapa.</w:t>
      </w:r>
    </w:p>
    <w:p>
      <w:pPr>
        <w:pStyle w:val="Heading1"/>
        <w:rPr/>
      </w:pPr>
      <w:r>
        <w:rPr/>
        <w:t>9. Referencias / fuentes de evidencia</w:t>
      </w:r>
    </w:p>
    <w:p>
      <w:pPr>
        <w:pStyle w:val="Normal"/>
        <w:rPr/>
      </w:pPr>
      <w:r>
        <w:rPr>
          <w:sz w:val="18"/>
        </w:rPr>
        <w:t>Todas las fuentes de resultados corresponden al proyecto. Las rutas son relativas a la raíz del repositorio; los reportes JSON conservan el detalle de medición. La referencia editorial se utilizó exclusivamente para estilo, no para contenido técnico.</w:t>
      </w:r>
    </w:p>
    <w:p>
      <w:pPr>
        <w:pStyle w:val="Normal"/>
        <w:rPr/>
      </w:pPr>
      <w:r>
        <w:rPr>
          <w:sz w:val="18"/>
        </w:rPr>
        <w:t>[1] FERXARP. Repositorio, README y código; corte 756728b, 26-09-2026. https://github.com/Rocoyoyi1527/FERXARP-rodrigo</w:t>
      </w:r>
    </w:p>
    <w:p>
      <w:pPr>
        <w:pStyle w:val="Normal"/>
        <w:rPr/>
      </w:pPr>
      <w:r>
        <w:rPr>
          <w:sz w:val="18"/>
        </w:rPr>
        <w:t>[2] FERXARP. ACT-01 — Pruebas y cobertura. docs/evidencias/testing/README.md; backend/scripts/coverage.sh; frontend/jest.config.cjs.</w:t>
      </w:r>
    </w:p>
    <w:p>
      <w:pPr>
        <w:pStyle w:val="Normal"/>
        <w:rPr/>
      </w:pPr>
      <w:r>
        <w:rPr>
          <w:sz w:val="18"/>
        </w:rPr>
        <w:t>[3] FERXARP. Evidencia remota GitHub Actions. docs/evidencias/cicd/github-actions-remote.md. PR: https://github.com/Rocoyoyi1527/FERXARP-rodrigo/actions/runs/36277313303 · Main: https://github.com/Rocoyoyi1527/FERXARP-rodrigo/actions/runs/36278602691</w:t>
      </w:r>
    </w:p>
    <w:p>
      <w:pPr>
        <w:pStyle w:val="Normal"/>
        <w:rPr/>
      </w:pPr>
      <w:r>
        <w:rPr>
          <w:sz w:val="18"/>
        </w:rPr>
        <w:t>[4] FERXARP. ACT-03 — OWASP ZAP y pruebas dirigidas. docs/evidencias/security/README.md; zap-before/after-*.json; http-before/after.json; browser-xss-before/after.json.</w:t>
      </w:r>
    </w:p>
    <w:p>
      <w:pPr>
        <w:pStyle w:val="Normal"/>
        <w:rPr/>
      </w:pPr>
      <w:r>
        <w:rPr>
          <w:sz w:val="18"/>
        </w:rPr>
        <w:t>[5] FERXARP. ACT-03 — SonarQube y cobertura. docs/evidencias/quality/README.md; sonar-before/after-frontend.json; sonar-before/after-backend.json.</w:t>
      </w:r>
    </w:p>
    <w:p>
      <w:pPr>
        <w:pStyle w:val="Normal"/>
        <w:rPr/>
      </w:pPr>
      <w:r>
        <w:rPr>
          <w:sz w:val="18"/>
        </w:rPr>
        <w:t>[6] FERXARP. Evidencia UI final. docs/evidencias/ui/ferxarp-ui01-browser-results.json y capturas PNG; validación final en docs/entrega/matriz-cumplimiento-rubrica.md.</w:t>
      </w:r>
    </w:p>
    <w:p>
      <w:pPr>
        <w:pStyle w:val="Normal"/>
        <w:rPr/>
      </w:pPr>
      <w:r>
        <w:rPr>
          <w:sz w:val="18"/>
        </w:rPr>
        <w:t>[7] FERXARP. Informe de cierre y antecedentes de fases. docs/entrega/informe-cierre.md; documentacion.md; git log. Fechas verificadas como fechas de autor.</w:t>
      </w:r>
    </w:p>
    <w:p>
      <w:pPr>
        <w:pStyle w:val="Normal"/>
        <w:rPr/>
      </w:pPr>
      <w:r>
        <w:rPr>
          <w:sz w:val="18"/>
        </w:rPr>
        <w:t>[8] FERXARP. Plan de mejora continua. docs/entrega/plan-mejora-continua.md. 25 acciones, prioridades, KPIs y dependencias.</w:t>
      </w:r>
    </w:p>
    <w:p>
      <w:pPr>
        <w:pStyle w:val="Normal"/>
        <w:rPr/>
      </w:pPr>
      <w:r>
        <w:rPr>
          <w:sz w:val="18"/>
        </w:rPr>
        <w:t>[9] Couary Fortuno, Rodrigo. Referencia editorial, 12-09-2026. Actividad_4_Rodrigo_Grupo_Bimbo-1-1.pdf. Portada, jerarquía, tablas y paginación como referencia visual.</w:t>
      </w:r>
    </w:p>
    <w:p>
      <w:pPr>
        <w:pStyle w:val="Normal"/>
        <w:widowControl/>
        <w:bidi w:val="0"/>
        <w:spacing w:lineRule="auto" w:line="250" w:before="0" w:after="80"/>
        <w:jc w:val="start"/>
        <w:rPr/>
      </w:pPr>
      <w:r>
        <w:rPr>
          <w:sz w:val="18"/>
        </w:rPr>
        <w:t>[10] FERXARP. Configuración y controles implementados. docker-compose.yml; .github/workflows/ci-cd.yml; backend/src/api/{auth,middleware,donations,scanner}.rs; scripts/deploy-test.sh y scripts/smoke-test.sh.</w:t>
      </w:r>
    </w:p>
    <w:sectPr>
      <w:footerReference w:type="even" r:id="rId9"/>
      <w:footerReference w:type="default" r:id="rId10"/>
      <w:footerReference w:type="first" r:id="rId11"/>
      <w:type w:val="nextPage"/>
      <w:pgSz w:w="12240" w:h="15840"/>
      <w:pgMar w:left="1008" w:right="1008" w:gutter="0" w:header="0" w:top="936" w:footer="36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66717D"/>
        <w:sz w:val="16"/>
      </w:rPr>
      <w:t xml:space="preserve">FERXARP  ·  Rodrigo Couary Fortuno  ·  Ingeniería de Software      Página </w:t>
    </w:r>
    <w:r>
      <w:rPr/>
      <w:fldChar w:fldCharType="begin"/>
    </w:r>
    <w:r>
      <w:rPr/>
      <w:instrText xml:space="preserve"> PAGE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66717D"/>
        <w:sz w:val="16"/>
      </w:rPr>
      <w:t xml:space="preserve">FERXARP  ·  Rodrigo Couary Fortuno  ·  Ingeniería de Software      Página </w:t>
    </w:r>
    <w:r>
      <w:rPr/>
      <w:fldChar w:fldCharType="begin"/>
    </w:r>
    <w:r>
      <w:rPr/>
      <w:instrText xml:space="preserve"> PAGE </w:instrText>
    </w:r>
    <w:r>
      <w:rPr/>
      <w:fldChar w:fldCharType="separate"/>
    </w:r>
    <w:r>
      <w:rPr/>
      <w:t>17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0" w:before="0" w:after="8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80" w:after="100"/>
      <w:outlineLvl w:val="0"/>
    </w:pPr>
    <w:rPr>
      <w:rFonts w:ascii="Calibri" w:hAnsi="Calibri" w:eastAsia="ＭＳ ゴシック" w:cs="" w:asciiTheme="majorHAnsi" w:cstheme="majorBidi" w:eastAsiaTheme="majorEastAsia" w:hAnsiTheme="majorHAnsi"/>
      <w:b/>
      <w:bCs/>
      <w:color w:val="19385F"/>
      <w:sz w:val="34"/>
      <w:szCs w:val="28"/>
    </w:rPr>
  </w:style>
  <w:style w:type="paragraph" w:styleId="Heading2">
    <w:name w:val="heading 2"/>
    <w:basedOn w:val="Normal"/>
    <w:next w:val="Normal"/>
    <w:link w:val="Heading2Char"/>
    <w:uiPriority w:val="9"/>
    <w:unhideWhenUsed/>
    <w:qFormat/>
    <w:rsid w:val="00fc693f"/>
    <w:pPr>
      <w:keepNext w:val="true"/>
      <w:keepLines/>
      <w:spacing w:before="180" w:after="100"/>
      <w:outlineLvl w:val="1"/>
    </w:pPr>
    <w:rPr>
      <w:rFonts w:ascii="Calibri" w:hAnsi="Calibri" w:eastAsia="ＭＳ ゴシック" w:cs="" w:asciiTheme="majorHAnsi" w:cstheme="majorBidi" w:eastAsiaTheme="majorEastAsia" w:hAnsiTheme="majorHAnsi"/>
      <w:b/>
      <w:bCs/>
      <w:color w:val="19385F"/>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lineRule="auto" w:line="250" w:before="0" w:after="80"/>
    </w:pPr>
    <w:rPr>
      <w:rFonts w:ascii="Arial" w:hAnsi="Arial"/>
      <w:sz w:val="20"/>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before="0" w:after="80"/>
    </w:pPr>
    <w:rPr>
      <w:rFonts w:ascii="Arial" w:hAnsi="Arial"/>
      <w:b/>
      <w:bCs/>
      <w:color w:val="526171"/>
      <w:sz w:val="18"/>
      <w:szCs w:val="18"/>
    </w:rPr>
  </w:style>
  <w:style w:type="paragraph" w:styleId="ndice">
    <w:name w:val="Índice"/>
    <w:basedOn w:val="Normal"/>
    <w:pPr>
      <w:suppressLineNumbers/>
    </w:pPr>
    <w:rPr>
      <w:rFonts w:cs="Noto Sans Devanagari"/>
    </w:rPr>
  </w:style>
  <w:style w:type="paragraph" w:styleId="Ttulouser">
    <w:name w:val="Título (user)"/>
    <w:basedOn w:val="Normal"/>
    <w:next w:val="BodyTex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pPr>
      <w:suppressLineNumbers/>
    </w:pPr>
    <w:rPr>
      <w:rFonts w:cs="Noto Sans Devanagari"/>
    </w:rPr>
  </w:style>
  <w:style w:type="paragraph" w:styleId="Cabeceraypieuser">
    <w:name w:val="Cabecera y pie (user)"/>
    <w:basedOn w:val="Normal"/>
    <w:pPr/>
    <w:rPr/>
  </w:style>
  <w:style w:type="paragraph" w:styleId="Cabeceraypie">
    <w:name w:val="Cabecera y pie"/>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80" w:after="100"/>
      <w:contextualSpacing/>
    </w:pPr>
    <w:rPr>
      <w:rFonts w:ascii="Calibri" w:hAnsi="Calibri" w:eastAsia="ＭＳ ゴシック" w:cs="" w:asciiTheme="majorHAnsi" w:cstheme="majorBidi" w:eastAsiaTheme="majorEastAsia" w:hAnsiTheme="majorHAnsi"/>
      <w:color w:val="19385F"/>
      <w:spacing w:val="5"/>
      <w:kern w:val="2"/>
      <w:sz w:val="54"/>
      <w:szCs w:val="52"/>
    </w:rPr>
  </w:style>
  <w:style w:type="paragraph" w:styleId="Subtitle">
    <w:name w:val="Subtitle"/>
    <w:basedOn w:val="Normal"/>
    <w:next w:val="Normal"/>
    <w:link w:val="SubtitleChar"/>
    <w:uiPriority w:val="11"/>
    <w:qFormat/>
    <w:rsid w:val="00fc693f"/>
    <w:pPr>
      <w:spacing w:before="180" w:after="100"/>
    </w:pPr>
    <w:rPr>
      <w:rFonts w:ascii="Calibri" w:hAnsi="Calibri" w:eastAsia="ＭＳ ゴシック" w:cs="" w:asciiTheme="majorHAnsi" w:cstheme="majorBidi" w:eastAsiaTheme="majorEastAsia" w:hAnsiTheme="majorHAnsi"/>
      <w:i/>
      <w:iCs/>
      <w:color w:val="19385F"/>
      <w:spacing w:val="15"/>
      <w:sz w:val="30"/>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80"/>
      <w:ind w:hanging="360" w:start="720"/>
      <w:contextualSpacing/>
    </w:pPr>
    <w:rPr/>
  </w:style>
  <w:style w:type="paragraph" w:styleId="List3">
    <w:name w:val="List 3"/>
    <w:basedOn w:val="Normal"/>
    <w:uiPriority w:val="99"/>
    <w:unhideWhenUsed/>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user"/>
    <w:pPr/>
    <w:rPr/>
  </w:style>
  <w:style w:type="paragraph" w:styleId="TOCHeading">
    <w:name w:val="TOC Heading"/>
    <w:basedOn w:val="Heading1"/>
    <w:next w:val="Normal"/>
    <w:uiPriority w:val="39"/>
    <w:semiHidden/>
    <w:unhideWhenUsed/>
    <w:qFormat/>
    <w:rsid w:val="00fc693f"/>
    <w:pPr>
      <w:outlineLvl w:val="9"/>
    </w:pPr>
    <w:rPr/>
  </w:style>
  <w:style w:type="numbering" w:styleId="Ningunalistauser" w:default="1">
    <w:name w:val="Ninguna lista (user)"/>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LibreOffice/26.8.0.3$Linux_X86_64 LibreOffice_project/e34ffb33db0c92181c79084d759a90d6bf45d9b3</Application>
  <AppVersion>15.0000</AppVersion>
  <Pages>17</Pages>
  <Words>5077</Words>
  <Characters>30872</Characters>
  <CharactersWithSpaces>35367</CharactersWithSpaces>
  <Paragraphs>602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Rodrigo Couary Fortuno</dc:creator>
  <dc:description>generated by python-docx</dc:description>
  <dc:language>es-MX</dc:language>
  <cp:lastModifiedBy/>
  <dcterms:modified xsi:type="dcterms:W3CDTF">2026-09-26T20:24:57Z</dcterms:modified>
  <cp:revision>3</cp:revision>
  <dc:subject>Ingeniería de Software</dc:subject>
  <dc:title>Actividad final — Implementación, seguridad, calidad y cierre de FERXARP</dc:title>
</cp:coreProperties>
</file>

<file path=docProps/custom.xml><?xml version="1.0" encoding="utf-8"?>
<Properties xmlns="http://schemas.openxmlformats.org/officeDocument/2006/custom-properties" xmlns:vt="http://schemas.openxmlformats.org/officeDocument/2006/docPropsVTypes"/>
</file>