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6400"/>
          <w:sz w:val="52"/>
        </w:rPr>
        <w:t>Statement of Account</w:t>
      </w:r>
    </w:p>
    <w:p>
      <w:r>
        <w:rPr>
          <w:b/>
        </w:rPr>
        <w:t>Rout-Raman</w:t>
      </w:r>
      <w:r>
        <w:br/>
        <w:t>75/27, Pau Circle, Belgaum 874582</w:t>
        <w:br/>
        <w:t>04 83 38 13 39  fredyconradi@schwital.com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Account No.</w:t>
            </w:r>
          </w:p>
        </w:tc>
        <w:tc>
          <w:tcPr>
            <w:tcW w:type="dxa" w:w="2556"/>
          </w:tcPr>
          <w:p>
            <w:r>
              <w:t>AJAL75119194851761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Statement No.</w:t>
            </w:r>
          </w:p>
        </w:tc>
        <w:tc>
          <w:tcPr>
            <w:tcW w:type="dxa" w:w="2556"/>
          </w:tcPr>
          <w:p>
            <w:r>
              <w:t>83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Sort Code / IBAN</w:t>
            </w:r>
          </w:p>
        </w:tc>
        <w:tc>
          <w:tcPr>
            <w:tcW w:type="dxa" w:w="2556"/>
          </w:tcPr>
          <w:p>
            <w:r>
              <w:t>DE28413534661021365408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556"/>
          </w:tcPr>
          <w:p>
            <w:r>
              <w:t>€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556"/>
          </w:tcPr>
          <w:p>
            <w:r>
              <w:t>2026-07-23 – 2026-08-22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006400"/>
              </w:rPr>
              <w:t>Account Holder</w:t>
            </w:r>
          </w:p>
          <w:p>
            <w:r>
              <w:t>Rout-Raman</w:t>
              <w:br/>
              <w:t>75/27, Pau Circle, Belgaum 874582</w:t>
              <w:br/>
              <w:t>fredyconradi@schwital.com</w:t>
            </w:r>
          </w:p>
        </w:tc>
        <w:tc>
          <w:tcPr>
            <w:tcW w:type="dxa" w:w="5112"/>
          </w:tcPr>
          <w:p>
            <w:r>
              <w:rPr>
                <w:b/>
                <w:color w:val="006400"/>
              </w:rPr>
              <w:t>Branch</w:t>
            </w:r>
          </w:p>
          <w:p>
            <w:r>
              <w:t>Dara, Bava and Rajagopalan</w:t>
              <w:br/>
              <w:t>69/840, Jhaveri Path, Hindupur 620764</w:t>
              <w:br/>
              <w:t>omosemann@hornich.com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Paid Out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Paid In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704"/>
          </w:tcPr>
          <w:p>
            <w:r>
              <w:t>2026-07-23</w:t>
            </w:r>
          </w:p>
        </w:tc>
        <w:tc>
          <w:tcPr>
            <w:tcW w:type="dxa" w:w="1704"/>
          </w:tcPr>
          <w:p>
            <w:r>
              <w:t>ATM</w:t>
            </w:r>
          </w:p>
        </w:tc>
        <w:tc>
          <w:tcPr>
            <w:tcW w:type="dxa" w:w="1704"/>
          </w:tcPr>
          <w:p>
            <w:r>
              <w:t>Naser</w:t>
            </w:r>
          </w:p>
        </w:tc>
        <w:tc>
          <w:tcPr>
            <w:tcW w:type="dxa" w:w="1704"/>
          </w:tcPr>
          <w:p>
            <w:r>
              <w:t>€828.46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€13,407.25</w:t>
            </w:r>
          </w:p>
        </w:tc>
      </w:tr>
      <w:tr>
        <w:tc>
          <w:tcPr>
            <w:tcW w:type="dxa" w:w="1704"/>
          </w:tcPr>
          <w:p>
            <w:r>
              <w:t>2026-07-25</w:t>
            </w:r>
          </w:p>
        </w:tc>
        <w:tc>
          <w:tcPr>
            <w:tcW w:type="dxa" w:w="1704"/>
          </w:tcPr>
          <w:p>
            <w:r>
              <w:t>BGC</w:t>
            </w:r>
          </w:p>
        </w:tc>
        <w:tc>
          <w:tcPr>
            <w:tcW w:type="dxa" w:w="1704"/>
          </w:tcPr>
          <w:p>
            <w:r>
              <w:t>Stiffel Bolzmann GmbH</w:t>
            </w:r>
          </w:p>
        </w:tc>
        <w:tc>
          <w:tcPr>
            <w:tcW w:type="dxa" w:w="1704"/>
          </w:tcPr>
          <w:p>
            <w:r>
              <w:t>€599.48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€12,807.77</w:t>
            </w:r>
          </w:p>
        </w:tc>
      </w:tr>
      <w:tr>
        <w:tc>
          <w:tcPr>
            <w:tcW w:type="dxa" w:w="1704"/>
          </w:tcPr>
          <w:p>
            <w:r>
              <w:t>2026-07-27</w:t>
            </w:r>
          </w:p>
        </w:tc>
        <w:tc>
          <w:tcPr>
            <w:tcW w:type="dxa" w:w="1704"/>
          </w:tcPr>
          <w:p>
            <w:r>
              <w:t>BGC</w:t>
            </w:r>
          </w:p>
        </w:tc>
        <w:tc>
          <w:tcPr>
            <w:tcW w:type="dxa" w:w="1704"/>
          </w:tcPr>
          <w:p>
            <w:r>
              <w:t>Davies-Williams</w:t>
            </w:r>
          </w:p>
        </w:tc>
        <w:tc>
          <w:tcPr>
            <w:tcW w:type="dxa" w:w="1704"/>
          </w:tcPr>
          <w:p>
            <w:r>
              <w:t>€476.05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€12,331.72</w:t>
            </w:r>
          </w:p>
        </w:tc>
      </w:tr>
      <w:tr>
        <w:tc>
          <w:tcPr>
            <w:tcW w:type="dxa" w:w="1704"/>
          </w:tcPr>
          <w:p>
            <w:r>
              <w:t>2026-07-29</w:t>
            </w:r>
          </w:p>
        </w:tc>
        <w:tc>
          <w:tcPr>
            <w:tcW w:type="dxa" w:w="1704"/>
          </w:tcPr>
          <w:p>
            <w:r>
              <w:t>TFR</w:t>
            </w:r>
          </w:p>
        </w:tc>
        <w:tc>
          <w:tcPr>
            <w:tcW w:type="dxa" w:w="1704"/>
          </w:tcPr>
          <w:p>
            <w:r>
              <w:t>Becker Heidrich AG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€72.14</w:t>
            </w:r>
          </w:p>
        </w:tc>
        <w:tc>
          <w:tcPr>
            <w:tcW w:type="dxa" w:w="1704"/>
          </w:tcPr>
          <w:p>
            <w:r>
              <w:t>€12,403.86</w:t>
            </w:r>
          </w:p>
        </w:tc>
      </w:tr>
      <w:tr>
        <w:tc>
          <w:tcPr>
            <w:tcW w:type="dxa" w:w="1704"/>
          </w:tcPr>
          <w:p>
            <w:r>
              <w:t>2026-07-31</w:t>
            </w:r>
          </w:p>
        </w:tc>
        <w:tc>
          <w:tcPr>
            <w:tcW w:type="dxa" w:w="1704"/>
          </w:tcPr>
          <w:p>
            <w:r>
              <w:t>POS</w:t>
            </w:r>
          </w:p>
        </w:tc>
        <w:tc>
          <w:tcPr>
            <w:tcW w:type="dxa" w:w="1704"/>
          </w:tcPr>
          <w:p>
            <w:r>
              <w:t xml:space="preserve">Jessel Reinhardt GmbH &amp; Co. </w:t>
            </w:r>
          </w:p>
        </w:tc>
        <w:tc>
          <w:tcPr>
            <w:tcW w:type="dxa" w:w="1704"/>
          </w:tcPr>
          <w:p>
            <w:r>
              <w:t>€537.40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€11,866.46</w:t>
            </w:r>
          </w:p>
        </w:tc>
      </w:tr>
      <w:tr>
        <w:tc>
          <w:tcPr>
            <w:tcW w:type="dxa" w:w="1704"/>
          </w:tcPr>
          <w:p>
            <w:r>
              <w:t>2026-08-02</w:t>
            </w:r>
          </w:p>
        </w:tc>
        <w:tc>
          <w:tcPr>
            <w:tcW w:type="dxa" w:w="1704"/>
          </w:tcPr>
          <w:p>
            <w:r>
              <w:t>BGC</w:t>
            </w:r>
          </w:p>
        </w:tc>
        <w:tc>
          <w:tcPr>
            <w:tcW w:type="dxa" w:w="1704"/>
          </w:tcPr>
          <w:p>
            <w:r>
              <w:t>Schneider S.A.R.L.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€544.71</w:t>
            </w:r>
          </w:p>
        </w:tc>
        <w:tc>
          <w:tcPr>
            <w:tcW w:type="dxa" w:w="1704"/>
          </w:tcPr>
          <w:p>
            <w:r>
              <w:t>€12,411.17</w:t>
            </w:r>
          </w:p>
        </w:tc>
      </w:tr>
      <w:tr>
        <w:tc>
          <w:tcPr>
            <w:tcW w:type="dxa" w:w="1704"/>
          </w:tcPr>
          <w:p>
            <w:r>
              <w:t>2026-08-04</w:t>
            </w:r>
          </w:p>
        </w:tc>
        <w:tc>
          <w:tcPr>
            <w:tcW w:type="dxa" w:w="1704"/>
          </w:tcPr>
          <w:p>
            <w:r>
              <w:t>POS</w:t>
            </w:r>
          </w:p>
        </w:tc>
        <w:tc>
          <w:tcPr>
            <w:tcW w:type="dxa" w:w="1704"/>
          </w:tcPr>
          <w:p>
            <w:r>
              <w:t>Vincent</w:t>
            </w:r>
          </w:p>
        </w:tc>
        <w:tc>
          <w:tcPr>
            <w:tcW w:type="dxa" w:w="1704"/>
          </w:tcPr>
          <w:p>
            <w:r>
              <w:t>€827.10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€11,584.07</w:t>
            </w:r>
          </w:p>
        </w:tc>
      </w:tr>
      <w:tr>
        <w:tc>
          <w:tcPr>
            <w:tcW w:type="dxa" w:w="1704"/>
          </w:tcPr>
          <w:p>
            <w:r>
              <w:t>2026-08-06</w:t>
            </w:r>
          </w:p>
        </w:tc>
        <w:tc>
          <w:tcPr>
            <w:tcW w:type="dxa" w:w="1704"/>
          </w:tcPr>
          <w:p>
            <w:r>
              <w:t>BGC</w:t>
            </w:r>
          </w:p>
        </w:tc>
        <w:tc>
          <w:tcPr>
            <w:tcW w:type="dxa" w:w="1704"/>
          </w:tcPr>
          <w:p>
            <w:r>
              <w:t>Hernandez PLC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€314.21</w:t>
            </w:r>
          </w:p>
        </w:tc>
        <w:tc>
          <w:tcPr>
            <w:tcW w:type="dxa" w:w="1704"/>
          </w:tcPr>
          <w:p>
            <w:r>
              <w:t>€11,898.28</w:t>
            </w:r>
          </w:p>
        </w:tc>
      </w:tr>
      <w:tr>
        <w:tc>
          <w:tcPr>
            <w:tcW w:type="dxa" w:w="1704"/>
          </w:tcPr>
          <w:p>
            <w:r>
              <w:t>2026-08-08</w:t>
            </w:r>
          </w:p>
        </w:tc>
        <w:tc>
          <w:tcPr>
            <w:tcW w:type="dxa" w:w="1704"/>
          </w:tcPr>
          <w:p>
            <w:r>
              <w:t>TFR</w:t>
            </w:r>
          </w:p>
        </w:tc>
        <w:tc>
          <w:tcPr>
            <w:tcW w:type="dxa" w:w="1704"/>
          </w:tcPr>
          <w:p>
            <w:r>
              <w:t>Raj, Shroff and Mann</w:t>
            </w:r>
          </w:p>
        </w:tc>
        <w:tc>
          <w:tcPr>
            <w:tcW w:type="dxa" w:w="1704"/>
          </w:tcPr>
          <w:p>
            <w:r>
              <w:t>€388.26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€11,510.02</w:t>
            </w:r>
          </w:p>
        </w:tc>
      </w:tr>
      <w:tr>
        <w:tc>
          <w:tcPr>
            <w:tcW w:type="dxa" w:w="1704"/>
          </w:tcPr>
          <w:p>
            <w:r>
              <w:t>2026-08-10</w:t>
            </w:r>
          </w:p>
        </w:tc>
        <w:tc>
          <w:tcPr>
            <w:tcW w:type="dxa" w:w="1704"/>
          </w:tcPr>
          <w:p>
            <w:r>
              <w:t>DD</w:t>
            </w:r>
          </w:p>
        </w:tc>
        <w:tc>
          <w:tcPr>
            <w:tcW w:type="dxa" w:w="1704"/>
          </w:tcPr>
          <w:p>
            <w:r>
              <w:t>Mans OHG mbH</w:t>
            </w:r>
          </w:p>
        </w:tc>
        <w:tc>
          <w:tcPr>
            <w:tcW w:type="dxa" w:w="1704"/>
          </w:tcPr>
          <w:p>
            <w:r>
              <w:t>€892.42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€10,617.60</w:t>
            </w:r>
          </w:p>
        </w:tc>
      </w:tr>
      <w:tr>
        <w:tc>
          <w:tcPr>
            <w:tcW w:type="dxa" w:w="1704"/>
          </w:tcPr>
          <w:p>
            <w:r>
              <w:t>2026-08-12</w:t>
            </w:r>
          </w:p>
        </w:tc>
        <w:tc>
          <w:tcPr>
            <w:tcW w:type="dxa" w:w="1704"/>
          </w:tcPr>
          <w:p>
            <w:r>
              <w:t>POS</w:t>
            </w:r>
          </w:p>
        </w:tc>
        <w:tc>
          <w:tcPr>
            <w:tcW w:type="dxa" w:w="1704"/>
          </w:tcPr>
          <w:p>
            <w:r>
              <w:t>Dudley Inc</w:t>
            </w:r>
          </w:p>
        </w:tc>
        <w:tc>
          <w:tcPr>
            <w:tcW w:type="dxa" w:w="1704"/>
          </w:tcPr>
          <w:p>
            <w:r>
              <w:t>€94.59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€10,523.01</w:t>
            </w:r>
          </w:p>
        </w:tc>
      </w:tr>
    </w:tbl>
    <w:p/>
    <w:p>
      <w:pPr>
        <w:jc w:val="right"/>
      </w:pPr>
      <w:r>
        <w:rPr>
          <w:b w:val="0"/>
        </w:rPr>
        <w:t>Opening Balance:    €14,235.71</w:t>
      </w:r>
    </w:p>
    <w:p>
      <w:pPr>
        <w:jc w:val="right"/>
      </w:pPr>
      <w:r>
        <w:rPr>
          <w:b/>
        </w:rPr>
        <w:t>Closing Balance:    €10,523.01</w:t>
      </w:r>
    </w:p>
    <w:p/>
    <w:p>
      <w:r>
        <w:rPr>
          <w:color w:val="808080"/>
          <w:sz w:val="16"/>
        </w:rPr>
        <w:t>Please check your statement carefully and report any discrepancies within 60 days.</w:t>
      </w:r>
    </w:p>
    <w:p>
      <w:r>
        <w:rPr>
          <w:color w:val="808080"/>
          <w:sz w:val="16"/>
        </w:rPr>
        <w:t>Interest rates and charges are shown in our published tariff.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