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6400"/>
          <w:sz w:val="36"/>
        </w:rPr>
        <w:t>BANK STATEMENT</w:t>
      </w:r>
    </w:p>
    <w:p>
      <w:r>
        <w:rPr>
          <w:b/>
        </w:rPr>
        <w:t>Pierre</w:t>
      </w:r>
      <w:r>
        <w:br/>
        <w:t>6, rue de Vasseur, 76993 Sainte Suzanne-les-Bains</w:t>
        <w:br/>
        <w:t>(0115)4960465  dnette@geisler.com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Account No.</w:t>
            </w:r>
          </w:p>
        </w:tc>
        <w:tc>
          <w:tcPr>
            <w:tcW w:type="dxa" w:w="2556"/>
          </w:tcPr>
          <w:p>
            <w:r>
              <w:t>KZGU9857157711017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Statement No.</w:t>
            </w:r>
          </w:p>
        </w:tc>
        <w:tc>
          <w:tcPr>
            <w:tcW w:type="dxa" w:w="2556"/>
          </w:tcPr>
          <w:p>
            <w:r>
              <w:t>114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Sort Code / IBAN</w:t>
            </w:r>
          </w:p>
        </w:tc>
        <w:tc>
          <w:tcPr>
            <w:tcW w:type="dxa" w:w="2556"/>
          </w:tcPr>
          <w:p>
            <w:r>
              <w:t>GB06YITG29012147358587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2556"/>
          </w:tcPr>
          <w:p>
            <w:r>
              <w:t>$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Statement Period</w:t>
            </w:r>
          </w:p>
        </w:tc>
        <w:tc>
          <w:tcPr>
            <w:tcW w:type="dxa" w:w="2556"/>
          </w:tcPr>
          <w:p>
            <w:r>
              <w:t>2026-03-11 – 2026-04-10</w:t>
            </w:r>
          </w:p>
        </w:tc>
        <w:tc>
          <w:tcPr>
            <w:tcW w:type="dxa" w:w="2556"/>
          </w:tcPr>
          <w:p/>
        </w:tc>
        <w:tc>
          <w:tcPr>
            <w:tcW w:type="dxa" w:w="2556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06400"/>
              </w:rPr>
              <w:t>Account Holder</w:t>
            </w:r>
          </w:p>
          <w:p>
            <w:r>
              <w:t>Pierre</w:t>
              <w:br/>
              <w:t>6, rue de Vasseur, 76993 Sainte Suzanne-les-Bains</w:t>
              <w:br/>
              <w:t>dnette@geisler.com</w:t>
            </w:r>
          </w:p>
        </w:tc>
        <w:tc>
          <w:tcPr>
            <w:tcW w:type="dxa" w:w="5112"/>
          </w:tcPr>
          <w:p>
            <w:r>
              <w:rPr>
                <w:b/>
                <w:color w:val="006400"/>
              </w:rPr>
              <w:t>Branch</w:t>
            </w:r>
          </w:p>
          <w:p>
            <w:r>
              <w:t>Pearson Inc</w:t>
              <w:br/>
              <w:t>Gierschnerstraße 6/9, 76252 Soest</w:t>
              <w:br/>
              <w:t>junitzwalburga@wagenknecht.com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Paid Out</w:t>
            </w:r>
          </w:p>
        </w:tc>
        <w:tc>
          <w:tcPr>
            <w:tcW w:type="dxa" w:w="1704"/>
          </w:tcPr>
          <w:p>
            <w:r>
              <w:rPr>
                <w:b/>
              </w:rPr>
              <w:t>Paid In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Balance</w:t>
            </w:r>
          </w:p>
        </w:tc>
      </w:tr>
      <w:tr>
        <w:tc>
          <w:tcPr>
            <w:tcW w:type="dxa" w:w="1704"/>
          </w:tcPr>
          <w:p>
            <w:r>
              <w:t>2026-03-11</w:t>
            </w:r>
          </w:p>
        </w:tc>
        <w:tc>
          <w:tcPr>
            <w:tcW w:type="dxa" w:w="1704"/>
          </w:tcPr>
          <w:p>
            <w:r>
              <w:t>POS</w:t>
            </w:r>
          </w:p>
        </w:tc>
        <w:tc>
          <w:tcPr>
            <w:tcW w:type="dxa" w:w="1704"/>
          </w:tcPr>
          <w:p>
            <w:r>
              <w:t>Parks-Chase</w:t>
            </w:r>
          </w:p>
        </w:tc>
        <w:tc>
          <w:tcPr>
            <w:tcW w:type="dxa" w:w="1704"/>
          </w:tcPr>
          <w:p>
            <w:r>
              <w:t>$96.48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$1,650.37</w:t>
            </w:r>
          </w:p>
        </w:tc>
      </w:tr>
      <w:tr>
        <w:tc>
          <w:tcPr>
            <w:tcW w:type="dxa" w:w="1704"/>
          </w:tcPr>
          <w:p>
            <w:r>
              <w:t>2026-03-13</w:t>
            </w:r>
          </w:p>
        </w:tc>
        <w:tc>
          <w:tcPr>
            <w:tcW w:type="dxa" w:w="1704"/>
          </w:tcPr>
          <w:p>
            <w:r>
              <w:t>TFR</w:t>
            </w:r>
          </w:p>
        </w:tc>
        <w:tc>
          <w:tcPr>
            <w:tcW w:type="dxa" w:w="1704"/>
          </w:tcPr>
          <w:p>
            <w:r>
              <w:t>Ali-Ryan</w:t>
            </w:r>
          </w:p>
        </w:tc>
        <w:tc>
          <w:tcPr>
            <w:tcW w:type="dxa" w:w="1704"/>
          </w:tcPr>
          <w:p>
            <w:r>
              <w:t>$357.75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$1,292.62</w:t>
            </w:r>
          </w:p>
        </w:tc>
      </w:tr>
      <w:tr>
        <w:tc>
          <w:tcPr>
            <w:tcW w:type="dxa" w:w="1704"/>
          </w:tcPr>
          <w:p>
            <w:r>
              <w:t>2026-03-15</w:t>
            </w:r>
          </w:p>
        </w:tc>
        <w:tc>
          <w:tcPr>
            <w:tcW w:type="dxa" w:w="1704"/>
          </w:tcPr>
          <w:p>
            <w:r>
              <w:t>SO</w:t>
            </w:r>
          </w:p>
        </w:tc>
        <w:tc>
          <w:tcPr>
            <w:tcW w:type="dxa" w:w="1704"/>
          </w:tcPr>
          <w:p>
            <w:r>
              <w:t>Trupp Herrmann AG</w:t>
            </w:r>
          </w:p>
        </w:tc>
        <w:tc>
          <w:tcPr>
            <w:tcW w:type="dxa" w:w="1704"/>
          </w:tcPr>
          <w:p>
            <w:r>
              <w:t>$64.05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$1,228.57</w:t>
            </w:r>
          </w:p>
        </w:tc>
      </w:tr>
      <w:tr>
        <w:tc>
          <w:tcPr>
            <w:tcW w:type="dxa" w:w="1704"/>
          </w:tcPr>
          <w:p>
            <w:r>
              <w:t>2026-03-17</w:t>
            </w:r>
          </w:p>
        </w:tc>
        <w:tc>
          <w:tcPr>
            <w:tcW w:type="dxa" w:w="1704"/>
          </w:tcPr>
          <w:p>
            <w:r>
              <w:t>BGC</w:t>
            </w:r>
          </w:p>
        </w:tc>
        <w:tc>
          <w:tcPr>
            <w:tcW w:type="dxa" w:w="1704"/>
          </w:tcPr>
          <w:p>
            <w:r>
              <w:t>Letellier</w:t>
            </w:r>
          </w:p>
        </w:tc>
        <w:tc>
          <w:tcPr>
            <w:tcW w:type="dxa" w:w="1704"/>
          </w:tcPr>
          <w:p>
            <w:r>
              <w:t>$159.46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$1,069.11</w:t>
            </w:r>
          </w:p>
        </w:tc>
      </w:tr>
      <w:tr>
        <w:tc>
          <w:tcPr>
            <w:tcW w:type="dxa" w:w="1704"/>
          </w:tcPr>
          <w:p>
            <w:r>
              <w:t>2026-03-19</w:t>
            </w:r>
          </w:p>
        </w:tc>
        <w:tc>
          <w:tcPr>
            <w:tcW w:type="dxa" w:w="1704"/>
          </w:tcPr>
          <w:p>
            <w:r>
              <w:t>DD</w:t>
            </w:r>
          </w:p>
        </w:tc>
        <w:tc>
          <w:tcPr>
            <w:tcW w:type="dxa" w:w="1704"/>
          </w:tcPr>
          <w:p>
            <w:r>
              <w:t>Page-Gibbs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$131.31</w:t>
            </w:r>
          </w:p>
        </w:tc>
        <w:tc>
          <w:tcPr>
            <w:tcW w:type="dxa" w:w="1704"/>
          </w:tcPr>
          <w:p>
            <w:r>
              <w:t>$1,200.42</w:t>
            </w:r>
          </w:p>
        </w:tc>
      </w:tr>
      <w:tr>
        <w:tc>
          <w:tcPr>
            <w:tcW w:type="dxa" w:w="1704"/>
          </w:tcPr>
          <w:p>
            <w:r>
              <w:t>2026-03-21</w:t>
            </w:r>
          </w:p>
        </w:tc>
        <w:tc>
          <w:tcPr>
            <w:tcW w:type="dxa" w:w="1704"/>
          </w:tcPr>
          <w:p>
            <w:r>
              <w:t>ATM</w:t>
            </w:r>
          </w:p>
        </w:tc>
        <w:tc>
          <w:tcPr>
            <w:tcW w:type="dxa" w:w="1704"/>
          </w:tcPr>
          <w:p>
            <w:r>
              <w:t>Millet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$481.07</w:t>
            </w:r>
          </w:p>
        </w:tc>
        <w:tc>
          <w:tcPr>
            <w:tcW w:type="dxa" w:w="1704"/>
          </w:tcPr>
          <w:p>
            <w:r>
              <w:t>$1,681.49</w:t>
            </w:r>
          </w:p>
        </w:tc>
      </w:tr>
      <w:tr>
        <w:tc>
          <w:tcPr>
            <w:tcW w:type="dxa" w:w="1704"/>
          </w:tcPr>
          <w:p>
            <w:r>
              <w:t>2026-03-23</w:t>
            </w:r>
          </w:p>
        </w:tc>
        <w:tc>
          <w:tcPr>
            <w:tcW w:type="dxa" w:w="1704"/>
          </w:tcPr>
          <w:p>
            <w:r>
              <w:t>POS</w:t>
            </w:r>
          </w:p>
        </w:tc>
        <w:tc>
          <w:tcPr>
            <w:tcW w:type="dxa" w:w="1704"/>
          </w:tcPr>
          <w:p>
            <w:r>
              <w:t>Allen-Davies</w:t>
            </w:r>
          </w:p>
        </w:tc>
        <w:tc>
          <w:tcPr>
            <w:tcW w:type="dxa" w:w="1704"/>
          </w:tcPr>
          <w:p>
            <w:r>
              <w:t>$633.16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$1,048.33</w:t>
            </w:r>
          </w:p>
        </w:tc>
      </w:tr>
      <w:tr>
        <w:tc>
          <w:tcPr>
            <w:tcW w:type="dxa" w:w="1704"/>
          </w:tcPr>
          <w:p>
            <w:r>
              <w:t>2026-03-25</w:t>
            </w:r>
          </w:p>
        </w:tc>
        <w:tc>
          <w:tcPr>
            <w:tcW w:type="dxa" w:w="1704"/>
          </w:tcPr>
          <w:p>
            <w:r>
              <w:t>ATM</w:t>
            </w:r>
          </w:p>
        </w:tc>
        <w:tc>
          <w:tcPr>
            <w:tcW w:type="dxa" w:w="1704"/>
          </w:tcPr>
          <w:p>
            <w:r>
              <w:t>Poole, Webb and Hale</w:t>
            </w:r>
          </w:p>
        </w:tc>
        <w:tc>
          <w:tcPr>
            <w:tcW w:type="dxa" w:w="1704"/>
          </w:tcPr>
          <w:p>
            <w:r>
              <w:t>$517.59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$530.74</w:t>
            </w:r>
          </w:p>
        </w:tc>
      </w:tr>
      <w:tr>
        <w:tc>
          <w:tcPr>
            <w:tcW w:type="dxa" w:w="1704"/>
          </w:tcPr>
          <w:p>
            <w:r>
              <w:t>2026-03-27</w:t>
            </w:r>
          </w:p>
        </w:tc>
        <w:tc>
          <w:tcPr>
            <w:tcW w:type="dxa" w:w="1704"/>
          </w:tcPr>
          <w:p>
            <w:r>
              <w:t>SO</w:t>
            </w:r>
          </w:p>
        </w:tc>
        <w:tc>
          <w:tcPr>
            <w:tcW w:type="dxa" w:w="1704"/>
          </w:tcPr>
          <w:p>
            <w:r>
              <w:t>Knowles, Frost and James</w:t>
            </w:r>
          </w:p>
        </w:tc>
        <w:tc>
          <w:tcPr>
            <w:tcW w:type="dxa" w:w="1704"/>
          </w:tcPr>
          <w:p>
            <w:r>
              <w:t>$286.59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$244.15</w:t>
            </w:r>
          </w:p>
        </w:tc>
      </w:tr>
    </w:tbl>
    <w:p/>
    <w:p>
      <w:pPr>
        <w:jc w:val="right"/>
      </w:pPr>
      <w:r>
        <w:rPr>
          <w:b w:val="0"/>
        </w:rPr>
        <w:t>Opening Balance:    $1,746.85</w:t>
      </w:r>
    </w:p>
    <w:p>
      <w:pPr>
        <w:jc w:val="right"/>
      </w:pPr>
      <w:r>
        <w:rPr>
          <w:b/>
        </w:rPr>
        <w:t>Closing Balance:    $244.15</w:t>
      </w:r>
    </w:p>
    <w:p/>
    <w:p>
      <w:r>
        <w:rPr>
          <w:color w:val="808080"/>
          <w:sz w:val="16"/>
        </w:rPr>
        <w:t>Please check your statement carefully and report any discrepancies within 60 days.</w:t>
      </w:r>
    </w:p>
    <w:p>
      <w:r>
        <w:rPr>
          <w:color w:val="808080"/>
          <w:sz w:val="16"/>
        </w:rPr>
        <w:t>Interest rates and charges are shown in our published tariff.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