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444444"/>
          <w:sz w:val="44"/>
        </w:rPr>
        <w:t>Packing Slip</w:t>
      </w:r>
    </w:p>
    <w:p>
      <w:r>
        <w:rPr>
          <w:b/>
        </w:rPr>
        <w:t>Peukert Bauer GmbH &amp; Co. OHG</w:t>
      </w:r>
      <w:r>
        <w:br/>
        <w:t>rue Hubert, 79286 Henry</w:t>
        <w:br/>
        <w:t>08001340997  martinehebert@marty.com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556"/>
          </w:tcPr>
          <w:p>
            <w:r>
              <w:t>DN-361435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556"/>
          </w:tcPr>
          <w:p>
            <w:r>
              <w:t>DPD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2026-03-18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556"/>
          </w:tcPr>
          <w:p>
            <w:r>
              <w:t>NQ11974232TO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556"/>
          </w:tcPr>
          <w:p>
            <w:r>
              <w:t>SO-44829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556"/>
          </w:tcPr>
          <w:p>
            <w:r>
              <w:t>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444444"/>
              </w:rPr>
              <w:t>Deliver To</w:t>
            </w:r>
          </w:p>
          <w:p>
            <w:r>
              <w:t>Brookes, Potts and Marshall</w:t>
              <w:br/>
              <w:t>9, chemin Roland Riou, 63192 Sainte Paulette</w:t>
              <w:br/>
              <w:t>april78@martinez.com</w:t>
            </w:r>
          </w:p>
        </w:tc>
        <w:tc>
          <w:tcPr>
            <w:tcW w:type="dxa" w:w="5112"/>
          </w:tcPr>
          <w:p>
            <w:r>
              <w:rPr>
                <w:b/>
                <w:color w:val="444444"/>
              </w:rPr>
              <w:t>Shipped From</w:t>
            </w:r>
          </w:p>
          <w:p>
            <w:r>
              <w:t>Peukert Bauer GmbH &amp; Co. OHG</w:t>
              <w:br/>
              <w:t>rue Hubert, 79286 Henry</w:t>
              <w:br/>
              <w:t>martinehebert@marty.com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SKU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SKU-1116-iI</w:t>
            </w:r>
          </w:p>
        </w:tc>
        <w:tc>
          <w:tcPr>
            <w:tcW w:type="dxa" w:w="1704"/>
          </w:tcPr>
          <w:p>
            <w:r>
              <w:t>Envisioneer Next-Generation Communities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SKU-3329-DV</w:t>
            </w:r>
          </w:p>
        </w:tc>
        <w:tc>
          <w:tcPr>
            <w:tcW w:type="dxa" w:w="1704"/>
          </w:tcPr>
          <w:p>
            <w:r>
              <w:t>Up-sized explicit circuit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SKU-2066-MM</w:t>
            </w:r>
          </w:p>
        </w:tc>
        <w:tc>
          <w:tcPr>
            <w:tcW w:type="dxa" w:w="1704"/>
          </w:tcPr>
          <w:p>
            <w:r>
              <w:t>Organic motivating Graphical User Interface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SKU-0605-vz</w:t>
            </w:r>
          </w:p>
        </w:tc>
        <w:tc>
          <w:tcPr>
            <w:tcW w:type="dxa" w:w="1704"/>
          </w:tcPr>
          <w:p>
            <w:r>
              <w:t>Le droit de rouler de manière sûre</w:t>
            </w:r>
          </w:p>
        </w:tc>
        <w:tc>
          <w:tcPr>
            <w:tcW w:type="dxa" w:w="1704"/>
          </w:tcPr>
          <w:p>
            <w:r>
              <w:t>46</w:t>
            </w:r>
          </w:p>
        </w:tc>
        <w:tc>
          <w:tcPr>
            <w:tcW w:type="dxa" w:w="1704"/>
          </w:tcPr>
          <w:p>
            <w:r>
              <w:t>44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SKU-5695-zJ</w:t>
            </w:r>
          </w:p>
        </w:tc>
        <w:tc>
          <w:tcPr>
            <w:tcW w:type="dxa" w:w="1704"/>
          </w:tcPr>
          <w:p>
            <w:r>
              <w:t>Envisioneer Viral Relationships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SKU-5825-pB</w:t>
            </w:r>
          </w:p>
        </w:tc>
        <w:tc>
          <w:tcPr>
            <w:tcW w:type="dxa" w:w="1704"/>
          </w:tcPr>
          <w:p>
            <w:r>
              <w:t>Balanced incremental data-warehouse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SKU-5182-eu</w:t>
            </w:r>
          </w:p>
        </w:tc>
        <w:tc>
          <w:tcPr>
            <w:tcW w:type="dxa" w:w="1704"/>
          </w:tcPr>
          <w:p>
            <w:r>
              <w:t>Maximize Viral Channels</w:t>
            </w:r>
          </w:p>
        </w:tc>
        <w:tc>
          <w:tcPr>
            <w:tcW w:type="dxa" w:w="1704"/>
          </w:tcPr>
          <w:p>
            <w:r>
              <w:t>49</w:t>
            </w:r>
          </w:p>
        </w:tc>
        <w:tc>
          <w:tcPr>
            <w:tcW w:type="dxa" w:w="1704"/>
          </w:tcPr>
          <w:p>
            <w:r>
              <w:t>48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SKU-3803-iA</w:t>
            </w:r>
          </w:p>
        </w:tc>
        <w:tc>
          <w:tcPr>
            <w:tcW w:type="dxa" w:w="1704"/>
          </w:tcPr>
          <w:p>
            <w:r>
              <w:t>Programmable zero administration emulation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</w:tbl>
    <w:p/>
    <w:p>
      <w:pPr>
        <w:jc w:val="right"/>
      </w:pPr>
      <w:r>
        <w:rPr>
          <w:b w:val="0"/>
        </w:rPr>
        <w:t>Total Packages:    8</w:t>
      </w:r>
    </w:p>
    <w:p>
      <w:pPr>
        <w:jc w:val="right"/>
      </w:pPr>
      <w:r>
        <w:rPr>
          <w:b/>
        </w:rPr>
        <w:t>Gross Weight:    21.5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