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35900"/>
          <w:sz w:val="36"/>
        </w:rPr>
        <w:t>Despatch Note</w:t>
      </w:r>
    </w:p>
    <w:p>
      <w:r>
        <w:rPr>
          <w:b/>
        </w:rPr>
        <w:t>Deschamps S.A.</w:t>
      </w:r>
      <w:r>
        <w:br/>
        <w:t>Flat 6, Amelia Via, Aimeeport, W6 4UA</w:t>
        <w:br/>
        <w:t>(0151)4960512  hegdehenry@modi-swamy.com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556"/>
          </w:tcPr>
          <w:p>
            <w:r>
              <w:t>DN-112579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556"/>
          </w:tcPr>
          <w:p>
            <w:r>
              <w:t>UPS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2026-08-21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556"/>
          </w:tcPr>
          <w:p>
            <w:r>
              <w:t>pD09439816Oe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556"/>
          </w:tcPr>
          <w:p>
            <w:r>
              <w:t>SO-46152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B35900"/>
              </w:rPr>
              <w:t>Deliver To</w:t>
            </w:r>
          </w:p>
          <w:p>
            <w:r>
              <w:t>Deschamps S.A.</w:t>
              <w:br/>
              <w:t>Flat 6, Amelia Via, Aimeeport, W6 4UA</w:t>
              <w:br/>
              <w:t>hegdehenry@modi-swamy.com</w:t>
            </w:r>
          </w:p>
        </w:tc>
        <w:tc>
          <w:tcPr>
            <w:tcW w:type="dxa" w:w="5112"/>
          </w:tcPr>
          <w:p>
            <w:r>
              <w:rPr>
                <w:b/>
                <w:color w:val="B35900"/>
              </w:rPr>
              <w:t>Shipped From</w:t>
            </w:r>
          </w:p>
          <w:p>
            <w:r>
              <w:t>Bender KG</w:t>
              <w:br/>
              <w:t>9, rue de Hamon, 35253 Rey</w:t>
              <w:br/>
              <w:t>sanaya64@gulati.com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SKU-0728-oN</w:t>
            </w:r>
          </w:p>
        </w:tc>
        <w:tc>
          <w:tcPr>
            <w:tcW w:type="dxa" w:w="1704"/>
          </w:tcPr>
          <w:p>
            <w:r>
              <w:t>Enable Magnetic Experiences</w:t>
            </w:r>
          </w:p>
        </w:tc>
        <w:tc>
          <w:tcPr>
            <w:tcW w:type="dxa" w:w="1704"/>
          </w:tcPr>
          <w:p>
            <w:r>
              <w:t>42</w:t>
            </w:r>
          </w:p>
        </w:tc>
        <w:tc>
          <w:tcPr>
            <w:tcW w:type="dxa" w:w="1704"/>
          </w:tcPr>
          <w:p>
            <w:r>
              <w:t>41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SKU-3671-ng</w:t>
            </w:r>
          </w:p>
        </w:tc>
        <w:tc>
          <w:tcPr>
            <w:tcW w:type="dxa" w:w="1704"/>
          </w:tcPr>
          <w:p>
            <w:r>
              <w:t>Vision-oriented optimal analyzer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SKU-0547-Yt</w:t>
            </w:r>
          </w:p>
        </w:tc>
        <w:tc>
          <w:tcPr>
            <w:tcW w:type="dxa" w:w="1704"/>
          </w:tcPr>
          <w:p>
            <w:r>
              <w:t>Transition Robust Deliverables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SKU-4366-wa</w:t>
            </w:r>
          </w:p>
        </w:tc>
        <w:tc>
          <w:tcPr>
            <w:tcW w:type="dxa" w:w="1704"/>
          </w:tcPr>
          <w:p>
            <w:r>
              <w:t>L'art d'innover à sa source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SKU-3855-mv</w:t>
            </w:r>
          </w:p>
        </w:tc>
        <w:tc>
          <w:tcPr>
            <w:tcW w:type="dxa" w:w="1704"/>
          </w:tcPr>
          <w:p>
            <w:r>
              <w:t>Scale Customized Portals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SKU-6759-fb</w:t>
            </w:r>
          </w:p>
        </w:tc>
        <w:tc>
          <w:tcPr>
            <w:tcW w:type="dxa" w:w="1704"/>
          </w:tcPr>
          <w:p>
            <w:r>
              <w:t>Synergized object-oriented instruction set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SKU-7836-TJ</w:t>
            </w:r>
          </w:p>
        </w:tc>
        <w:tc>
          <w:tcPr>
            <w:tcW w:type="dxa" w:w="1704"/>
          </w:tcPr>
          <w:p>
            <w:r>
              <w:t>Innovate Out-Of-The-Box Paradigms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SKU-9275-SP</w:t>
            </w:r>
          </w:p>
        </w:tc>
        <w:tc>
          <w:tcPr>
            <w:tcW w:type="dxa" w:w="1704"/>
          </w:tcPr>
          <w:p>
            <w:r>
              <w:t>Whiteboard Compelling Paradigms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</w:tbl>
    <w:p/>
    <w:p>
      <w:pPr>
        <w:jc w:val="right"/>
      </w:pPr>
      <w:r>
        <w:rPr>
          <w:b w:val="0"/>
        </w:rPr>
        <w:t>Total Packages:    5</w:t>
      </w:r>
    </w:p>
    <w:p>
      <w:pPr>
        <w:jc w:val="right"/>
      </w:pPr>
      <w:r>
        <w:rPr>
          <w:b/>
        </w:rPr>
        <w:t>Gross Weight:    50.6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