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44444"/>
          <w:sz w:val="36"/>
        </w:rPr>
        <w:t>PACKING LIST</w:t>
      </w:r>
    </w:p>
    <w:p>
      <w:r>
        <w:rPr>
          <w:b/>
        </w:rPr>
        <w:t>Reising</w:t>
      </w:r>
      <w:r>
        <w:br/>
        <w:t>rue Lacroix, 11659 Allain-sur-Roche</w:t>
        <w:br/>
        <w:t>0146822231  jshere@narang-nair.com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412"/>
          </w:tcPr>
          <w:p>
            <w:r>
              <w:t>DN-676530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412"/>
          </w:tcPr>
          <w:p>
            <w:r>
              <w:t>Own fleet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2026-08-16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412"/>
          </w:tcPr>
          <w:p>
            <w:r>
              <w:t>sl80002170qJ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412"/>
          </w:tcPr>
          <w:p>
            <w:r>
              <w:t>SO-22483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412"/>
          </w:tcPr>
          <w:p>
            <w:r>
              <w:t>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44444"/>
              </w:rPr>
              <w:t>Deliver To</w:t>
            </w:r>
          </w:p>
          <w:p>
            <w:r>
              <w:t>Reising</w:t>
              <w:br/>
              <w:t>rue Lacroix, 11659 Allain-sur-Roche</w:t>
              <w:br/>
              <w:t>jshere@narang-nair.com</w:t>
            </w:r>
          </w:p>
        </w:tc>
        <w:tc>
          <w:tcPr>
            <w:tcW w:type="dxa" w:w="4824"/>
          </w:tcPr>
          <w:p>
            <w:r>
              <w:rPr>
                <w:b/>
                <w:color w:val="444444"/>
              </w:rPr>
              <w:t>Shipped From</w:t>
            </w:r>
          </w:p>
          <w:p>
            <w:r>
              <w:t>Scheuermann Jacob AG</w:t>
              <w:br/>
              <w:t>530, Lata Chowk, Gurgaon 304288</w:t>
              <w:br/>
              <w:t>robinsonkatie@cooper.com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SKU-5985-ix</w:t>
            </w:r>
          </w:p>
        </w:tc>
        <w:tc>
          <w:tcPr>
            <w:tcW w:type="dxa" w:w="1608"/>
          </w:tcPr>
          <w:p>
            <w:r>
              <w:t>Redefine Frictionless Systems</w:t>
            </w:r>
          </w:p>
        </w:tc>
        <w:tc>
          <w:tcPr>
            <w:tcW w:type="dxa" w:w="1608"/>
          </w:tcPr>
          <w:p>
            <w:r>
              <w:t>40</w:t>
            </w:r>
          </w:p>
        </w:tc>
        <w:tc>
          <w:tcPr>
            <w:tcW w:type="dxa" w:w="1608"/>
          </w:tcPr>
          <w:p>
            <w:r>
              <w:t>40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SKU-4125-Fy</w:t>
            </w:r>
          </w:p>
        </w:tc>
        <w:tc>
          <w:tcPr>
            <w:tcW w:type="dxa" w:w="1608"/>
          </w:tcPr>
          <w:p>
            <w:r>
              <w:t>Generate Collaborative Web-Readiness</w:t>
            </w:r>
          </w:p>
        </w:tc>
        <w:tc>
          <w:tcPr>
            <w:tcW w:type="dxa" w:w="1608"/>
          </w:tcPr>
          <w:p>
            <w:r>
              <w:t>31</w:t>
            </w:r>
          </w:p>
        </w:tc>
        <w:tc>
          <w:tcPr>
            <w:tcW w:type="dxa" w:w="1608"/>
          </w:tcPr>
          <w:p>
            <w:r>
              <w:t>30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SKU-3100-ls</w:t>
            </w:r>
          </w:p>
        </w:tc>
        <w:tc>
          <w:tcPr>
            <w:tcW w:type="dxa" w:w="1608"/>
          </w:tcPr>
          <w:p>
            <w:r>
              <w:t>Profound motivating encryption</w:t>
            </w:r>
          </w:p>
        </w:tc>
        <w:tc>
          <w:tcPr>
            <w:tcW w:type="dxa" w:w="1608"/>
          </w:tcPr>
          <w:p>
            <w:r>
              <w:t>28</w:t>
            </w:r>
          </w:p>
        </w:tc>
        <w:tc>
          <w:tcPr>
            <w:tcW w:type="dxa" w:w="1608"/>
          </w:tcPr>
          <w:p>
            <w:r>
              <w:t>26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4</w:t>
      </w:r>
    </w:p>
    <w:p>
      <w:pPr>
        <w:jc w:val="right"/>
      </w:pPr>
      <w:r>
        <w:rPr>
          <w:b/>
        </w:rPr>
        <w:t>Gross Weight:    179.4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