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B73"/>
          <w:sz w:val="52"/>
        </w:rPr>
        <w:t>Earnings Statement</w:t>
      </w:r>
    </w:p>
    <w:p>
      <w:r>
        <w:rPr>
          <w:b/>
        </w:rPr>
        <w:t>Bradshaw, Read and Smith</w:t>
      </w:r>
      <w:r>
        <w:br/>
        <w:t>21736 Clifford Dale Apt. 702, Clarkview, ID 40233</w:t>
        <w:br/>
        <w:t>(08380) 500712  aurorelaurent@laroche.net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556"/>
          </w:tcPr>
          <w:p>
            <w:r>
              <w:t>EMP5950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556"/>
          </w:tcPr>
          <w:p>
            <w:r>
              <w:t>Operations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556"/>
          </w:tcPr>
          <w:p>
            <w:r>
              <w:t>2026-03-15 to 2026-04-14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Tax Code</w:t>
            </w:r>
          </w:p>
        </w:tc>
        <w:tc>
          <w:tcPr>
            <w:tcW w:type="dxa" w:w="2556"/>
          </w:tcPr>
          <w:p>
            <w:r>
              <w:t>1451L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2556"/>
          </w:tcPr>
          <w:p>
            <w:r>
              <w:t>Bank Transfer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F3B73"/>
              </w:rPr>
              <w:t>Employer</w:t>
            </w:r>
          </w:p>
          <w:p>
            <w:r>
              <w:t>Bradshaw, Read and Smith</w:t>
              <w:br/>
              <w:t>21736 Clifford Dale Apt. 702, Clarkview, ID 40233</w:t>
              <w:br/>
              <w:t>aurorelaurent@laroche.net</w:t>
            </w:r>
          </w:p>
        </w:tc>
        <w:tc>
          <w:tcPr>
            <w:tcW w:type="dxa" w:w="5112"/>
          </w:tcPr>
          <w:p>
            <w:r>
              <w:rPr>
                <w:b/>
                <w:color w:val="1F3B73"/>
              </w:rPr>
              <w:t>Employee</w:t>
            </w:r>
          </w:p>
          <w:p>
            <w:r>
              <w:t>Glenn Medina</w:t>
              <w:br/>
              <w:t>095 Edward Port, Shannonville, AL 73777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Deductions</w:t>
            </w:r>
          </w:p>
        </w:tc>
        <w:tc>
          <w:tcPr>
            <w:tcW w:type="dxa" w:w="1704"/>
          </w:tcPr>
          <w:p>
            <w:r>
              <w:rPr>
                <w:b/>
              </w:rPr>
              <w:t xml:space="preserve">Amount </w:t>
            </w:r>
          </w:p>
        </w:tc>
      </w:tr>
      <w:tr>
        <w:tc>
          <w:tcPr>
            <w:tcW w:type="dxa" w:w="1704"/>
          </w:tcPr>
          <w:p>
            <w:r>
              <w:t>Basic Salary</w:t>
            </w:r>
          </w:p>
        </w:tc>
        <w:tc>
          <w:tcPr>
            <w:tcW w:type="dxa" w:w="1704"/>
          </w:tcPr>
          <w:p>
            <w:r>
              <w:t>160</w:t>
            </w:r>
          </w:p>
        </w:tc>
        <w:tc>
          <w:tcPr>
            <w:tcW w:type="dxa" w:w="1704"/>
          </w:tcPr>
          <w:p>
            <w:r>
              <w:t>AUD 28.01</w:t>
            </w:r>
          </w:p>
        </w:tc>
        <w:tc>
          <w:tcPr>
            <w:tcW w:type="dxa" w:w="1704"/>
          </w:tcPr>
          <w:p>
            <w:r>
              <w:t>AUD 4,481.92</w:t>
            </w:r>
          </w:p>
        </w:tc>
        <w:tc>
          <w:tcPr>
            <w:tcW w:type="dxa" w:w="1704"/>
          </w:tcPr>
          <w:p>
            <w:r>
              <w:t>Income Tax</w:t>
            </w:r>
          </w:p>
        </w:tc>
        <w:tc>
          <w:tcPr>
            <w:tcW w:type="dxa" w:w="1704"/>
          </w:tcPr>
          <w:p>
            <w:r>
              <w:t>AUD 476.90</w:t>
            </w:r>
          </w:p>
        </w:tc>
      </w:tr>
      <w:tr>
        <w:tc>
          <w:tcPr>
            <w:tcW w:type="dxa" w:w="1704"/>
          </w:tcPr>
          <w:p>
            <w:r>
              <w:t>Overtime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AUD 42.02</w:t>
            </w:r>
          </w:p>
        </w:tc>
        <w:tc>
          <w:tcPr>
            <w:tcW w:type="dxa" w:w="1704"/>
          </w:tcPr>
          <w:p>
            <w:r>
              <w:t>AUD 36.00</w:t>
            </w:r>
          </w:p>
        </w:tc>
        <w:tc>
          <w:tcPr>
            <w:tcW w:type="dxa" w:w="1704"/>
          </w:tcPr>
          <w:p>
            <w:r>
              <w:t>Social Insurance</w:t>
            </w:r>
          </w:p>
        </w:tc>
        <w:tc>
          <w:tcPr>
            <w:tcW w:type="dxa" w:w="1704"/>
          </w:tcPr>
          <w:p>
            <w:r>
              <w:t>AUD 358.55</w:t>
            </w:r>
          </w:p>
        </w:tc>
      </w:tr>
      <w:tr>
        <w:tc>
          <w:tcPr>
            <w:tcW w:type="dxa" w:w="1704"/>
          </w:tcPr>
          <w:p>
            <w:r>
              <w:t>Allowance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AUD 16.59</w:t>
            </w:r>
          </w:p>
        </w:tc>
        <w:tc>
          <w:tcPr>
            <w:tcW w:type="dxa" w:w="1704"/>
          </w:tcPr>
          <w:p>
            <w:r>
              <w:t>Pension</w:t>
            </w:r>
          </w:p>
        </w:tc>
        <w:tc>
          <w:tcPr>
            <w:tcW w:type="dxa" w:w="1704"/>
          </w:tcPr>
          <w:p>
            <w:r>
              <w:t>AUD 224.10</w:t>
            </w:r>
          </w:p>
        </w:tc>
      </w:tr>
    </w:tbl>
    <w:p/>
    <w:p>
      <w:pPr>
        <w:jc w:val="right"/>
      </w:pPr>
      <w:r>
        <w:rPr>
          <w:b w:val="0"/>
        </w:rPr>
        <w:t>Gross Pay:    AUD 4,481.92</w:t>
      </w:r>
    </w:p>
    <w:p>
      <w:pPr>
        <w:jc w:val="right"/>
      </w:pPr>
      <w:r>
        <w:rPr>
          <w:b w:val="0"/>
        </w:rPr>
        <w:t>Total Deductions:    AUD 1,059.55</w:t>
      </w:r>
    </w:p>
    <w:p>
      <w:pPr>
        <w:jc w:val="right"/>
      </w:pPr>
      <w:r>
        <w:rPr>
          <w:b w:val="0"/>
        </w:rPr>
        <w:t>NET PAY:    AUD 3,422.37</w:t>
      </w:r>
    </w:p>
    <w:p>
      <w:pPr>
        <w:jc w:val="right"/>
      </w:pPr>
      <w:r>
        <w:rPr>
          <w:b/>
        </w:rPr>
        <w:t>YTD Gross:    AUD 31,373.44</w:t>
      </w:r>
    </w:p>
    <w:p/>
    <w:p>
      <w:r>
        <w:rPr>
          <w:color w:val="808080"/>
          <w:sz w:val="16"/>
        </w:rPr>
        <w:t>This document is a statement of earnings, not a request for payment.</w:t>
      </w:r>
    </w:p>
    <w:p>
      <w:r>
        <w:rPr>
          <w:color w:val="808080"/>
          <w:sz w:val="16"/>
        </w:rPr>
        <w:t>Retain for your records.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