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08080"/>
          <w:sz w:val="36"/>
        </w:rPr>
        <w:t>P.O.</w:t>
      </w:r>
    </w:p>
    <w:p>
      <w:r>
        <w:rPr>
          <w:b/>
        </w:rPr>
        <w:t>Pinto</w:t>
      </w:r>
      <w:r>
        <w:br/>
        <w:t>Romy-Bolzmann-Straße 8-3, 33680 Rastatt</w:t>
        <w:br/>
        <w:t>07113190171  rhartley@ellis.com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PO Number</w:t>
            </w:r>
          </w:p>
        </w:tc>
        <w:tc>
          <w:tcPr>
            <w:tcW w:type="dxa" w:w="2556"/>
          </w:tcPr>
          <w:p>
            <w:r>
              <w:t>PO-24363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Payment Terms</w:t>
            </w:r>
          </w:p>
        </w:tc>
        <w:tc>
          <w:tcPr>
            <w:tcW w:type="dxa" w:w="2556"/>
          </w:tcPr>
          <w:p>
            <w:r>
              <w:t>Net 45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Order Date</w:t>
            </w:r>
          </w:p>
        </w:tc>
        <w:tc>
          <w:tcPr>
            <w:tcW w:type="dxa" w:w="2556"/>
          </w:tcPr>
          <w:p>
            <w:r>
              <w:t>2026-02-11</w:t>
            </w:r>
          </w:p>
        </w:tc>
        <w:tc>
          <w:tcPr>
            <w:tcW w:type="dxa" w:w="2556"/>
          </w:tcPr>
          <w:p>
            <w:r>
              <w:rPr>
                <w:b/>
              </w:rPr>
              <w:t>Shipping Method</w:t>
            </w:r>
          </w:p>
        </w:tc>
        <w:tc>
          <w:tcPr>
            <w:tcW w:type="dxa" w:w="2556"/>
          </w:tcPr>
          <w:p>
            <w:r>
              <w:t>Sea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Required By</w:t>
            </w:r>
          </w:p>
        </w:tc>
        <w:tc>
          <w:tcPr>
            <w:tcW w:type="dxa" w:w="2556"/>
          </w:tcPr>
          <w:p>
            <w:r>
              <w:t>2026-03-02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color w:val="008080"/>
              </w:rPr>
              <w:t>Buyer</w:t>
            </w:r>
          </w:p>
          <w:p>
            <w:r>
              <w:t>Pinto</w:t>
              <w:br/>
              <w:t>Romy-Bolzmann-Straße 8-3, 33680 Rastatt</w:t>
              <w:br/>
              <w:t>rhartley@ellis.com</w:t>
            </w:r>
          </w:p>
        </w:tc>
        <w:tc>
          <w:tcPr>
            <w:tcW w:type="dxa" w:w="3408"/>
          </w:tcPr>
          <w:p>
            <w:r>
              <w:rPr>
                <w:b/>
                <w:color w:val="008080"/>
              </w:rPr>
              <w:t>Vendor</w:t>
            </w:r>
          </w:p>
          <w:p>
            <w:r>
              <w:t>Schomber AG &amp; Co. KG</w:t>
              <w:br/>
              <w:t>02/84, Lala Circle, Satara 448686</w:t>
              <w:br/>
              <w:t>pascalkarge@meyer.com</w:t>
            </w:r>
          </w:p>
        </w:tc>
        <w:tc>
          <w:tcPr>
            <w:tcW w:type="dxa" w:w="3408"/>
          </w:tcPr>
          <w:p>
            <w:r>
              <w:rPr>
                <w:b/>
                <w:color w:val="008080"/>
              </w:rPr>
              <w:t>Ship To</w:t>
            </w:r>
          </w:p>
          <w:p>
            <w:r>
              <w:t>Da Silva</w:t>
              <w:br/>
              <w:t>H.No. 33, Sha, Raiganj-302610</w:t>
              <w:br/>
              <w:t>prestonchelsea@roberts.co.uk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045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045"/>
          </w:tcPr>
          <w:p>
            <w:r>
              <w:rPr>
                <w:b/>
              </w:rPr>
              <w:t>Qty</w:t>
            </w:r>
          </w:p>
        </w:tc>
        <w:tc>
          <w:tcPr>
            <w:tcW w:type="dxa" w:w="2045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2045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Aggregate Out-Of-The-Box Partnerships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$830.15</w:t>
            </w:r>
          </w:p>
        </w:tc>
        <w:tc>
          <w:tcPr>
            <w:tcW w:type="dxa" w:w="2045"/>
          </w:tcPr>
          <w:p>
            <w:r>
              <w:t>$2,490.45</w:t>
            </w:r>
          </w:p>
        </w:tc>
      </w:tr>
      <w:tr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Managed asynchronous artificial intelligence</w:t>
            </w:r>
          </w:p>
        </w:tc>
        <w:tc>
          <w:tcPr>
            <w:tcW w:type="dxa" w:w="2045"/>
          </w:tcPr>
          <w:p>
            <w:r>
              <w:t>17</w:t>
            </w:r>
          </w:p>
        </w:tc>
        <w:tc>
          <w:tcPr>
            <w:tcW w:type="dxa" w:w="2045"/>
          </w:tcPr>
          <w:p>
            <w:r>
              <w:t>$74.73</w:t>
            </w:r>
          </w:p>
        </w:tc>
        <w:tc>
          <w:tcPr>
            <w:tcW w:type="dxa" w:w="2045"/>
          </w:tcPr>
          <w:p>
            <w:r>
              <w:t>$1,270.41</w:t>
            </w:r>
          </w:p>
        </w:tc>
      </w:tr>
      <w:tr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Multi-tiered hybrid moderator</w:t>
            </w:r>
          </w:p>
        </w:tc>
        <w:tc>
          <w:tcPr>
            <w:tcW w:type="dxa" w:w="2045"/>
          </w:tcPr>
          <w:p>
            <w:r>
              <w:t>13</w:t>
            </w:r>
          </w:p>
        </w:tc>
        <w:tc>
          <w:tcPr>
            <w:tcW w:type="dxa" w:w="2045"/>
          </w:tcPr>
          <w:p>
            <w:r>
              <w:t>$588.51</w:t>
            </w:r>
          </w:p>
        </w:tc>
        <w:tc>
          <w:tcPr>
            <w:tcW w:type="dxa" w:w="2045"/>
          </w:tcPr>
          <w:p>
            <w:r>
              <w:t>$7,650.63</w:t>
            </w:r>
          </w:p>
        </w:tc>
      </w:tr>
      <w:tr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Proactive secondary system engine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$771.79</w:t>
            </w:r>
          </w:p>
        </w:tc>
        <w:tc>
          <w:tcPr>
            <w:tcW w:type="dxa" w:w="2045"/>
          </w:tcPr>
          <w:p>
            <w:r>
              <w:t>$771.79</w:t>
            </w:r>
          </w:p>
        </w:tc>
      </w:tr>
    </w:tbl>
    <w:p/>
    <w:p>
      <w:pPr>
        <w:jc w:val="right"/>
      </w:pPr>
      <w:r>
        <w:rPr>
          <w:b w:val="0"/>
        </w:rPr>
        <w:t>Subtotal:    $12,183.28</w:t>
      </w:r>
    </w:p>
    <w:p>
      <w:pPr>
        <w:jc w:val="right"/>
      </w:pPr>
      <w:r>
        <w:rPr>
          <w:b w:val="0"/>
        </w:rPr>
        <w:t>Shipping:    $57.58</w:t>
      </w:r>
    </w:p>
    <w:p>
      <w:pPr>
        <w:jc w:val="right"/>
      </w:pPr>
      <w:r>
        <w:rPr>
          <w:b/>
        </w:rPr>
        <w:t>Order Total:    $12,792.44</w:t>
      </w:r>
    </w:p>
    <w:p/>
    <w:p>
      <w:r>
        <w:rPr>
          <w:color w:val="808080"/>
          <w:sz w:val="16"/>
        </w:rPr>
        <w:t>This purchase order is subject to the buyer's standard terms and conditions.</w:t>
      </w:r>
    </w:p>
    <w:p>
      <w:r>
        <w:rPr>
          <w:color w:val="808080"/>
          <w:sz w:val="16"/>
        </w:rPr>
        <w:t>Please confirm receipt and expected delivery date.</w:t>
      </w:r>
    </w:p>
    <w:p>
      <w:r>
        <w:rPr>
          <w:color w:val="808080"/>
          <w:sz w:val="16"/>
        </w:rPr>
        <w:t>Quote PO number on all correspondence and packing documents.</w:t>
      </w:r>
    </w:p>
    <w:sectPr w:rsidR="00FC693F" w:rsidRPr="0006063C" w:rsidSect="00034616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