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4B0082"/>
          <w:sz w:val="52"/>
        </w:rPr>
        <w:t>ESTIMATE</w:t>
      </w:r>
    </w:p>
    <w:p>
      <w:r>
        <w:rPr>
          <w:b/>
        </w:rPr>
        <w:t>Steinberg GmbH</w:t>
      </w:r>
      <w:r>
        <w:br/>
        <w:t>275 Tiffany Corners Apt. 866, Lake Jesse, WA 93328</w:t>
        <w:br/>
        <w:t>07523341082  eseidel@saeuberlich.de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Quote No.</w:t>
            </w:r>
          </w:p>
        </w:tc>
        <w:tc>
          <w:tcPr>
            <w:tcW w:type="dxa" w:w="2340"/>
          </w:tcPr>
          <w:p>
            <w:r>
              <w:t>Q-7900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Prepared By</w:t>
            </w:r>
          </w:p>
        </w:tc>
        <w:tc>
          <w:tcPr>
            <w:tcW w:type="dxa" w:w="2340"/>
          </w:tcPr>
          <w:p>
            <w:r>
              <w:t>Nisha Peri</w:t>
            </w:r>
          </w:p>
        </w:tc>
      </w:tr>
      <w:tr>
        <w:tc>
          <w:tcPr>
            <w:tcW w:type="dxa" w:w="234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340"/>
          </w:tcPr>
          <w:p>
            <w:r>
              <w:t>2026-03-12</w:t>
            </w:r>
          </w:p>
        </w:tc>
        <w:tc>
          <w:tcPr>
            <w:tcW w:type="dxa" w:w="2340"/>
          </w:tcPr>
          <w:p>
            <w:r>
              <w:rPr>
                <w:b/>
              </w:rPr>
              <w:t>Reference</w:t>
            </w:r>
          </w:p>
        </w:tc>
        <w:tc>
          <w:tcPr>
            <w:tcW w:type="dxa" w:w="2340"/>
          </w:tcPr>
          <w:p>
            <w:r>
              <w:t>REF-SV41dN</w:t>
            </w:r>
          </w:p>
        </w:tc>
      </w:tr>
      <w:tr>
        <w:tc>
          <w:tcPr>
            <w:tcW w:type="dxa" w:w="2340"/>
          </w:tcPr>
          <w:p>
            <w:r>
              <w:rPr>
                <w:b/>
              </w:rPr>
              <w:t>Valid Until</w:t>
            </w:r>
          </w:p>
        </w:tc>
        <w:tc>
          <w:tcPr>
            <w:tcW w:type="dxa" w:w="2340"/>
          </w:tcPr>
          <w:p>
            <w:r>
              <w:t>2026-04-11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color w:val="4B0082"/>
              </w:rPr>
              <w:t>Prepared For</w:t>
            </w:r>
          </w:p>
          <w:p>
            <w:r>
              <w:t>Steinberg GmbH</w:t>
              <w:br/>
              <w:t>275 Tiffany Corners Apt. 866, Lake Jesse, WA 93328</w:t>
              <w:br/>
              <w:t>eseidel@saeuberlich.de</w:t>
            </w:r>
          </w:p>
        </w:tc>
        <w:tc>
          <w:tcPr>
            <w:tcW w:type="dxa" w:w="4680"/>
          </w:tcPr>
          <w:p>
            <w:r>
              <w:rPr>
                <w:b/>
                <w:color w:val="4B0082"/>
              </w:rPr>
              <w:t>From</w:t>
            </w:r>
          </w:p>
          <w:p>
            <w:r>
              <w:t>Lowe, Martin and Wood</w:t>
              <w:br/>
              <w:t>93/544, Bhattacharyya Street, Giridih-309868</w:t>
              <w:br/>
              <w:t>jenningsjake@morgan.info</w:t>
            </w:r>
          </w:p>
        </w:tc>
      </w:tr>
    </w:tbl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#</w:t>
            </w:r>
          </w:p>
        </w:tc>
        <w:tc>
          <w:tcPr>
            <w:tcW w:type="dxa" w:w="1872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872"/>
          </w:tcPr>
          <w:p>
            <w:r>
              <w:rPr>
                <w:b/>
              </w:rPr>
              <w:t>Qty</w:t>
            </w:r>
          </w:p>
        </w:tc>
        <w:tc>
          <w:tcPr>
            <w:tcW w:type="dxa" w:w="1872"/>
          </w:tcPr>
          <w:p>
            <w:r>
              <w:rPr>
                <w:b/>
              </w:rPr>
              <w:t>Rate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Total</w:t>
            </w:r>
          </w:p>
        </w:tc>
      </w:tr>
      <w:tr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Ameliorated explicit archive</w:t>
            </w:r>
          </w:p>
        </w:tc>
        <w:tc>
          <w:tcPr>
            <w:tcW w:type="dxa" w:w="1872"/>
          </w:tcPr>
          <w:p>
            <w:r>
              <w:t>5</w:t>
            </w:r>
          </w:p>
        </w:tc>
        <w:tc>
          <w:tcPr>
            <w:tcW w:type="dxa" w:w="1872"/>
          </w:tcPr>
          <w:p>
            <w:r>
              <w:t>€885.50</w:t>
            </w:r>
          </w:p>
        </w:tc>
        <w:tc>
          <w:tcPr>
            <w:tcW w:type="dxa" w:w="1872"/>
          </w:tcPr>
          <w:p>
            <w:r>
              <w:t>€4,427.50</w:t>
            </w:r>
          </w:p>
        </w:tc>
      </w:tr>
      <w:tr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Engineer Virtual Channels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€393.13</w:t>
            </w:r>
          </w:p>
        </w:tc>
        <w:tc>
          <w:tcPr>
            <w:tcW w:type="dxa" w:w="1872"/>
          </w:tcPr>
          <w:p>
            <w:r>
              <w:t>€3,931.30</w:t>
            </w:r>
          </w:p>
        </w:tc>
      </w:tr>
      <w:tr>
        <w:tc>
          <w:tcPr>
            <w:tcW w:type="dxa" w:w="1872"/>
          </w:tcPr>
          <w:p>
            <w:r>
              <w:t>3</w:t>
            </w:r>
          </w:p>
        </w:tc>
        <w:tc>
          <w:tcPr>
            <w:tcW w:type="dxa" w:w="1872"/>
          </w:tcPr>
          <w:p>
            <w:r>
              <w:t>Compatible multi-tasking implementation</w:t>
            </w:r>
          </w:p>
        </w:tc>
        <w:tc>
          <w:tcPr>
            <w:tcW w:type="dxa" w:w="1872"/>
          </w:tcPr>
          <w:p>
            <w:r>
              <w:t>4</w:t>
            </w:r>
          </w:p>
        </w:tc>
        <w:tc>
          <w:tcPr>
            <w:tcW w:type="dxa" w:w="1872"/>
          </w:tcPr>
          <w:p>
            <w:r>
              <w:t>€254.88</w:t>
            </w:r>
          </w:p>
        </w:tc>
        <w:tc>
          <w:tcPr>
            <w:tcW w:type="dxa" w:w="1872"/>
          </w:tcPr>
          <w:p>
            <w:r>
              <w:t>€1,019.52</w:t>
            </w:r>
          </w:p>
        </w:tc>
      </w:tr>
      <w:tr>
        <w:tc>
          <w:tcPr>
            <w:tcW w:type="dxa" w:w="1872"/>
          </w:tcPr>
          <w:p>
            <w:r>
              <w:t>4</w:t>
            </w:r>
          </w:p>
        </w:tc>
        <w:tc>
          <w:tcPr>
            <w:tcW w:type="dxa" w:w="1872"/>
          </w:tcPr>
          <w:p>
            <w:r>
              <w:t>Exploit One-To-One Systems</w:t>
            </w:r>
          </w:p>
        </w:tc>
        <w:tc>
          <w:tcPr>
            <w:tcW w:type="dxa" w:w="1872"/>
          </w:tcPr>
          <w:p>
            <w:r>
              <w:t>15</w:t>
            </w:r>
          </w:p>
        </w:tc>
        <w:tc>
          <w:tcPr>
            <w:tcW w:type="dxa" w:w="1872"/>
          </w:tcPr>
          <w:p>
            <w:r>
              <w:t>€33.44</w:t>
            </w:r>
          </w:p>
        </w:tc>
        <w:tc>
          <w:tcPr>
            <w:tcW w:type="dxa" w:w="1872"/>
          </w:tcPr>
          <w:p>
            <w:r>
              <w:t>€501.60</w:t>
            </w:r>
          </w:p>
        </w:tc>
      </w:tr>
      <w:tr>
        <w:tc>
          <w:tcPr>
            <w:tcW w:type="dxa" w:w="1872"/>
          </w:tcPr>
          <w:p>
            <w:r>
              <w:t>5</w:t>
            </w:r>
          </w:p>
        </w:tc>
        <w:tc>
          <w:tcPr>
            <w:tcW w:type="dxa" w:w="1872"/>
          </w:tcPr>
          <w:p>
            <w:r>
              <w:t>Proactive stable moderator</w:t>
            </w:r>
          </w:p>
        </w:tc>
        <w:tc>
          <w:tcPr>
            <w:tcW w:type="dxa" w:w="1872"/>
          </w:tcPr>
          <w:p>
            <w:r>
              <w:t>14</w:t>
            </w:r>
          </w:p>
        </w:tc>
        <w:tc>
          <w:tcPr>
            <w:tcW w:type="dxa" w:w="1872"/>
          </w:tcPr>
          <w:p>
            <w:r>
              <w:t>€625.02</w:t>
            </w:r>
          </w:p>
        </w:tc>
        <w:tc>
          <w:tcPr>
            <w:tcW w:type="dxa" w:w="1872"/>
          </w:tcPr>
          <w:p>
            <w:r>
              <w:t>€8,750.28</w:t>
            </w:r>
          </w:p>
        </w:tc>
      </w:tr>
      <w:tr>
        <w:tc>
          <w:tcPr>
            <w:tcW w:type="dxa" w:w="1872"/>
          </w:tcPr>
          <w:p>
            <w:r>
              <w:t>6</w:t>
            </w:r>
          </w:p>
        </w:tc>
        <w:tc>
          <w:tcPr>
            <w:tcW w:type="dxa" w:w="1872"/>
          </w:tcPr>
          <w:p>
            <w:r>
              <w:t>Innovate Out-Of-The-Box Deliverables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€418.56</w:t>
            </w:r>
          </w:p>
        </w:tc>
        <w:tc>
          <w:tcPr>
            <w:tcW w:type="dxa" w:w="1872"/>
          </w:tcPr>
          <w:p>
            <w:r>
              <w:t>€4,185.60</w:t>
            </w:r>
          </w:p>
        </w:tc>
      </w:tr>
      <w:tr>
        <w:tc>
          <w:tcPr>
            <w:tcW w:type="dxa" w:w="1872"/>
          </w:tcPr>
          <w:p>
            <w:r>
              <w:t>7</w:t>
            </w:r>
          </w:p>
        </w:tc>
        <w:tc>
          <w:tcPr>
            <w:tcW w:type="dxa" w:w="1872"/>
          </w:tcPr>
          <w:p>
            <w:r>
              <w:t>Aggregate User-Centric Partnerships</w:t>
            </w:r>
          </w:p>
        </w:tc>
        <w:tc>
          <w:tcPr>
            <w:tcW w:type="dxa" w:w="1872"/>
          </w:tcPr>
          <w:p>
            <w:r>
              <w:t>20</w:t>
            </w:r>
          </w:p>
        </w:tc>
        <w:tc>
          <w:tcPr>
            <w:tcW w:type="dxa" w:w="1872"/>
          </w:tcPr>
          <w:p>
            <w:r>
              <w:t>€665.20</w:t>
            </w:r>
          </w:p>
        </w:tc>
        <w:tc>
          <w:tcPr>
            <w:tcW w:type="dxa" w:w="1872"/>
          </w:tcPr>
          <w:p>
            <w:r>
              <w:t>€13,304.00</w:t>
            </w:r>
          </w:p>
        </w:tc>
      </w:tr>
      <w:tr>
        <w:tc>
          <w:tcPr>
            <w:tcW w:type="dxa" w:w="1872"/>
          </w:tcPr>
          <w:p>
            <w:r>
              <w:t>8</w:t>
            </w:r>
          </w:p>
        </w:tc>
        <w:tc>
          <w:tcPr>
            <w:tcW w:type="dxa" w:w="1872"/>
          </w:tcPr>
          <w:p>
            <w:r>
              <w:t>Productize Dot-Com Networks</w:t>
            </w:r>
          </w:p>
        </w:tc>
        <w:tc>
          <w:tcPr>
            <w:tcW w:type="dxa" w:w="1872"/>
          </w:tcPr>
          <w:p>
            <w:r>
              <w:t>8</w:t>
            </w:r>
          </w:p>
        </w:tc>
        <w:tc>
          <w:tcPr>
            <w:tcW w:type="dxa" w:w="1872"/>
          </w:tcPr>
          <w:p>
            <w:r>
              <w:t>€817.48</w:t>
            </w:r>
          </w:p>
        </w:tc>
        <w:tc>
          <w:tcPr>
            <w:tcW w:type="dxa" w:w="1872"/>
          </w:tcPr>
          <w:p>
            <w:r>
              <w:t>€6,539.84</w:t>
            </w:r>
          </w:p>
        </w:tc>
      </w:tr>
    </w:tbl>
    <w:p/>
    <w:p>
      <w:pPr>
        <w:jc w:val="right"/>
      </w:pPr>
      <w:r>
        <w:rPr>
          <w:b w:val="0"/>
        </w:rPr>
        <w:t>Subtotal:    €42,659.64</w:t>
      </w:r>
    </w:p>
    <w:p>
      <w:pPr>
        <w:jc w:val="right"/>
      </w:pPr>
      <w:r>
        <w:rPr>
          <w:b w:val="0"/>
        </w:rPr>
        <w:t>Discount:    -€2,132.98</w:t>
      </w:r>
    </w:p>
    <w:p>
      <w:pPr>
        <w:jc w:val="right"/>
      </w:pPr>
      <w:r>
        <w:rPr>
          <w:b w:val="0"/>
        </w:rPr>
        <w:t>Estimated Tax:    €3,412.77</w:t>
      </w:r>
    </w:p>
    <w:p>
      <w:pPr>
        <w:jc w:val="right"/>
      </w:pPr>
      <w:r>
        <w:rPr>
          <w:b/>
        </w:rPr>
        <w:t>Estimated Total:    €43,939.43</w:t>
      </w:r>
    </w:p>
    <w:p/>
    <w:p>
      <w:r>
        <w:rPr>
          <w:color w:val="808080"/>
          <w:sz w:val="16"/>
        </w:rPr>
        <w:t>This is a quotation only and does not constitute a bill.</w:t>
      </w:r>
    </w:p>
    <w:p>
      <w:r>
        <w:rPr>
          <w:color w:val="808080"/>
          <w:sz w:val="16"/>
        </w:rPr>
        <w:t>Prices are valid for 30 days from the date above.</w:t>
      </w:r>
    </w:p>
    <w:p>
      <w:r>
        <w:rPr>
          <w:color w:val="808080"/>
          <w:sz w:val="16"/>
        </w:rPr>
        <w:t>To accept this quote, sign below and return a copy.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