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8080"/>
          <w:sz w:val="44"/>
        </w:rPr>
        <w:t>QUOTATION</w:t>
      </w:r>
    </w:p>
    <w:p>
      <w:r>
        <w:rPr>
          <w:b/>
        </w:rPr>
        <w:t>Hall-Goddard</w:t>
      </w:r>
      <w:r>
        <w:br/>
        <w:t>9204 Sabrina Drive, Port Michelleport, AK 14598</w:t>
        <w:br/>
        <w:t>05041945953  lissi33@loos.de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340"/>
          </w:tcPr>
          <w:p>
            <w:r>
              <w:t>Q-9408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340"/>
          </w:tcPr>
          <w:p>
            <w:r>
              <w:t>Arnaude de Moreau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2026-04-21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340"/>
          </w:tcPr>
          <w:p>
            <w:r>
              <w:t>REF-Ei64jB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340"/>
          </w:tcPr>
          <w:p>
            <w:r>
              <w:t>2026-05-21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08080"/>
              </w:rPr>
              <w:t>Prepared For</w:t>
            </w:r>
          </w:p>
          <w:p>
            <w:r>
              <w:t>Hall-Goddard</w:t>
              <w:br/>
              <w:t>9204 Sabrina Drive, Port Michelleport, AK 14598</w:t>
              <w:br/>
              <w:t>lissi33@loos.de</w:t>
            </w:r>
          </w:p>
        </w:tc>
        <w:tc>
          <w:tcPr>
            <w:tcW w:type="dxa" w:w="4680"/>
          </w:tcPr>
          <w:p>
            <w:r>
              <w:rPr>
                <w:b/>
                <w:color w:val="008080"/>
              </w:rPr>
              <w:t>From</w:t>
            </w:r>
          </w:p>
          <w:p>
            <w:r>
              <w:t>Baker-Cortez</w:t>
              <w:br/>
              <w:t>86/205, Mukherjee Circle, Mumbai 047405</w:t>
              <w:br/>
              <w:t>keyapurohit@chhabra.com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Syndicate Distributed Partnerships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€494.66</w:t>
            </w:r>
          </w:p>
        </w:tc>
        <w:tc>
          <w:tcPr>
            <w:tcW w:type="dxa" w:w="1872"/>
          </w:tcPr>
          <w:p>
            <w:r>
              <w:t>€3,462.62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Integrate Out-Of-The-Box Applications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€585.76</w:t>
            </w:r>
          </w:p>
        </w:tc>
        <w:tc>
          <w:tcPr>
            <w:tcW w:type="dxa" w:w="1872"/>
          </w:tcPr>
          <w:p>
            <w:r>
              <w:t>€5,271.84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Strategize End-To-End Relationships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€639.06</w:t>
            </w:r>
          </w:p>
        </w:tc>
        <w:tc>
          <w:tcPr>
            <w:tcW w:type="dxa" w:w="1872"/>
          </w:tcPr>
          <w:p>
            <w:r>
              <w:t>€5,751.54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Multi-tiered composite middleware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€206.22</w:t>
            </w:r>
          </w:p>
        </w:tc>
        <w:tc>
          <w:tcPr>
            <w:tcW w:type="dxa" w:w="1872"/>
          </w:tcPr>
          <w:p>
            <w:r>
              <w:t>€3,093.30</w:t>
            </w:r>
          </w:p>
        </w:tc>
      </w:tr>
    </w:tbl>
    <w:p/>
    <w:p>
      <w:pPr>
        <w:jc w:val="right"/>
      </w:pPr>
      <w:r>
        <w:rPr>
          <w:b w:val="0"/>
        </w:rPr>
        <w:t>Subtotal:    €17,579.30</w:t>
      </w:r>
    </w:p>
    <w:p>
      <w:pPr>
        <w:jc w:val="right"/>
      </w:pPr>
      <w:r>
        <w:rPr>
          <w:b w:val="0"/>
        </w:rPr>
        <w:t>Discount:    -€878.97</w:t>
      </w:r>
    </w:p>
    <w:p>
      <w:pPr>
        <w:jc w:val="right"/>
      </w:pPr>
      <w:r>
        <w:rPr>
          <w:b w:val="0"/>
        </w:rPr>
        <w:t>Estimated Tax:    €1,406.34</w:t>
      </w:r>
    </w:p>
    <w:p>
      <w:pPr>
        <w:jc w:val="right"/>
      </w:pPr>
      <w:r>
        <w:rPr>
          <w:b/>
        </w:rPr>
        <w:t>Estimated Total:    €18,106.68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