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8080"/>
          <w:sz w:val="44"/>
        </w:rPr>
        <w:t>Sales Quotation</w:t>
      </w:r>
    </w:p>
    <w:p>
      <w:r>
        <w:rPr>
          <w:b/>
        </w:rPr>
        <w:t>Chauveau</w:t>
      </w:r>
      <w:r>
        <w:br/>
        <w:t>0776 Newman Field, Lake Willie, NE 15403</w:t>
        <w:br/>
        <w:t>+441614960042  lisbeth72@koester.net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Quote No.</w:t>
            </w:r>
          </w:p>
        </w:tc>
        <w:tc>
          <w:tcPr>
            <w:tcW w:type="dxa" w:w="2340"/>
          </w:tcPr>
          <w:p>
            <w:r>
              <w:t>Q-9981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2340"/>
          </w:tcPr>
          <w:p>
            <w:r>
              <w:t>Daniel Harvey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340"/>
          </w:tcPr>
          <w:p>
            <w:r>
              <w:t>2026-06-12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2340"/>
          </w:tcPr>
          <w:p>
            <w:r>
              <w:t>REF-dL56kc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Valid Until</w:t>
            </w:r>
          </w:p>
        </w:tc>
        <w:tc>
          <w:tcPr>
            <w:tcW w:type="dxa" w:w="2340"/>
          </w:tcPr>
          <w:p>
            <w:r>
              <w:t>2026-07-12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008080"/>
              </w:rPr>
              <w:t>Prepared For</w:t>
            </w:r>
          </w:p>
          <w:p>
            <w:r>
              <w:t>Kranz Ruppert GmbH &amp; Co. KG</w:t>
              <w:br/>
              <w:t>76, Ghosh Road, Rourkela-558675</w:t>
              <w:br/>
              <w:t>qneureuther@stey.org</w:t>
            </w:r>
          </w:p>
        </w:tc>
        <w:tc>
          <w:tcPr>
            <w:tcW w:type="dxa" w:w="4680"/>
          </w:tcPr>
          <w:p>
            <w:r>
              <w:rPr>
                <w:b/>
                <w:color w:val="008080"/>
              </w:rPr>
              <w:t>From</w:t>
            </w:r>
          </w:p>
          <w:p>
            <w:r>
              <w:t>Chauveau</w:t>
              <w:br/>
              <w:t>0776 Newman Field, Lake Willie, NE 15403</w:t>
              <w:br/>
              <w:t>lisbeth72@koester.net</w:t>
            </w:r>
          </w:p>
        </w:tc>
      </w:tr>
    </w:tbl>
    <w:p/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#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Qty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Rate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Reduced maximized neural-net</w:t>
            </w:r>
          </w:p>
        </w:tc>
        <w:tc>
          <w:tcPr>
            <w:tcW w:type="dxa" w:w="1872"/>
          </w:tcPr>
          <w:p>
            <w:r>
              <w:t>15</w:t>
            </w:r>
          </w:p>
        </w:tc>
        <w:tc>
          <w:tcPr>
            <w:tcW w:type="dxa" w:w="1872"/>
          </w:tcPr>
          <w:p>
            <w:r>
              <w:t>CHF 282.10</w:t>
            </w:r>
          </w:p>
        </w:tc>
        <w:tc>
          <w:tcPr>
            <w:tcW w:type="dxa" w:w="1872"/>
          </w:tcPr>
          <w:p>
            <w:r>
              <w:t>CHF 4,231.50</w:t>
            </w:r>
          </w:p>
        </w:tc>
      </w:tr>
      <w:tr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Expanded 4thgeneration paradigm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CHF 656.79</w:t>
            </w:r>
          </w:p>
        </w:tc>
        <w:tc>
          <w:tcPr>
            <w:tcW w:type="dxa" w:w="1872"/>
          </w:tcPr>
          <w:p>
            <w:r>
              <w:t>CHF 3,283.95</w:t>
            </w:r>
          </w:p>
        </w:tc>
      </w:tr>
      <w:tr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Cultivate Rich Networks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CHF 853.56</w:t>
            </w:r>
          </w:p>
        </w:tc>
        <w:tc>
          <w:tcPr>
            <w:tcW w:type="dxa" w:w="1872"/>
          </w:tcPr>
          <w:p>
            <w:r>
              <w:t>CHF 1,707.12</w:t>
            </w:r>
          </w:p>
        </w:tc>
      </w:tr>
      <w:tr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Le confort d'innover sans soucis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CHF 857.82</w:t>
            </w:r>
          </w:p>
        </w:tc>
        <w:tc>
          <w:tcPr>
            <w:tcW w:type="dxa" w:w="1872"/>
          </w:tcPr>
          <w:p>
            <w:r>
              <w:t>CHF 857.82</w:t>
            </w:r>
          </w:p>
        </w:tc>
      </w:tr>
      <w:tr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Compatible holistic productivity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CHF 171.33</w:t>
            </w:r>
          </w:p>
        </w:tc>
        <w:tc>
          <w:tcPr>
            <w:tcW w:type="dxa" w:w="1872"/>
          </w:tcPr>
          <w:p>
            <w:r>
              <w:t>CHF 856.65</w:t>
            </w:r>
          </w:p>
        </w:tc>
      </w:tr>
      <w:tr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Incubate Sticky Info-Mediaries</w:t>
            </w:r>
          </w:p>
        </w:tc>
        <w:tc>
          <w:tcPr>
            <w:tcW w:type="dxa" w:w="1872"/>
          </w:tcPr>
          <w:p>
            <w:r>
              <w:t>17</w:t>
            </w:r>
          </w:p>
        </w:tc>
        <w:tc>
          <w:tcPr>
            <w:tcW w:type="dxa" w:w="1872"/>
          </w:tcPr>
          <w:p>
            <w:r>
              <w:t>CHF 44.87</w:t>
            </w:r>
          </w:p>
        </w:tc>
        <w:tc>
          <w:tcPr>
            <w:tcW w:type="dxa" w:w="1872"/>
          </w:tcPr>
          <w:p>
            <w:r>
              <w:t>CHF 762.79</w:t>
            </w:r>
          </w:p>
        </w:tc>
      </w:tr>
      <w:tr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Architect Cutting-Edge Paradigms</w:t>
            </w:r>
          </w:p>
        </w:tc>
        <w:tc>
          <w:tcPr>
            <w:tcW w:type="dxa" w:w="1872"/>
          </w:tcPr>
          <w:p>
            <w:r>
              <w:t>19</w:t>
            </w:r>
          </w:p>
        </w:tc>
        <w:tc>
          <w:tcPr>
            <w:tcW w:type="dxa" w:w="1872"/>
          </w:tcPr>
          <w:p>
            <w:r>
              <w:t>CHF 578.42</w:t>
            </w:r>
          </w:p>
        </w:tc>
        <w:tc>
          <w:tcPr>
            <w:tcW w:type="dxa" w:w="1872"/>
          </w:tcPr>
          <w:p>
            <w:r>
              <w:t>CHF 10,989.98</w:t>
            </w:r>
          </w:p>
        </w:tc>
      </w:tr>
      <w:tr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Switchable client-driven paradigm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CHF 264.18</w:t>
            </w:r>
          </w:p>
        </w:tc>
        <w:tc>
          <w:tcPr>
            <w:tcW w:type="dxa" w:w="1872"/>
          </w:tcPr>
          <w:p>
            <w:r>
              <w:t>CHF 2,113.44</w:t>
            </w:r>
          </w:p>
        </w:tc>
      </w:tr>
    </w:tbl>
    <w:p/>
    <w:p>
      <w:pPr>
        <w:jc w:val="right"/>
      </w:pPr>
      <w:r>
        <w:rPr>
          <w:b w:val="0"/>
        </w:rPr>
        <w:t>Subtotal:    CHF 24,803.25</w:t>
      </w:r>
    </w:p>
    <w:p>
      <w:pPr>
        <w:jc w:val="right"/>
      </w:pPr>
      <w:r>
        <w:rPr>
          <w:b w:val="0"/>
        </w:rPr>
        <w:t>Discount:    -CHF 1,240.16</w:t>
      </w:r>
    </w:p>
    <w:p>
      <w:pPr>
        <w:jc w:val="right"/>
      </w:pPr>
      <w:r>
        <w:rPr>
          <w:b w:val="0"/>
        </w:rPr>
        <w:t>Estimated Tax:    CHF 1,984.26</w:t>
      </w:r>
    </w:p>
    <w:p>
      <w:pPr>
        <w:jc w:val="right"/>
      </w:pPr>
      <w:r>
        <w:rPr>
          <w:b/>
        </w:rPr>
        <w:t>Estimated Total:    CHF 25,547.35</w:t>
      </w:r>
    </w:p>
    <w:p/>
    <w:p>
      <w:r>
        <w:rPr>
          <w:color w:val="808080"/>
          <w:sz w:val="16"/>
        </w:rPr>
        <w:t>This is a quotation only and does not constitute a bill.</w:t>
      </w:r>
    </w:p>
    <w:p>
      <w:r>
        <w:rPr>
          <w:color w:val="808080"/>
          <w:sz w:val="16"/>
        </w:rPr>
        <w:t>Prices are valid for 30 days from the date above.</w:t>
      </w:r>
    </w:p>
    <w:p>
      <w:r>
        <w:rPr>
          <w:color w:val="808080"/>
          <w:sz w:val="16"/>
        </w:rPr>
        <w:t>To accept this quote, sign below and return a copy.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