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52"/>
        </w:rPr>
        <w:t>ESTIMATE</w:t>
      </w:r>
    </w:p>
    <w:p>
      <w:r>
        <w:rPr>
          <w:b/>
        </w:rPr>
        <w:t>Maréchal</w:t>
      </w:r>
      <w:r>
        <w:br/>
        <w:t>46 Lydia Squares, North Maureenton, EH4E 1EX</w:t>
        <w:br/>
        <w:t>02551 00387  traudel54@pohl.org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556"/>
          </w:tcPr>
          <w:p>
            <w:r>
              <w:t>Q-6486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556"/>
          </w:tcPr>
          <w:p>
            <w:r>
              <w:t>Émile-Rémy Durand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556"/>
          </w:tcPr>
          <w:p>
            <w:r>
              <w:t>REF-iY90IR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556"/>
          </w:tcPr>
          <w:p>
            <w:r>
              <w:t>2026-05-24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3B73"/>
              </w:rPr>
              <w:t>Prepared For</w:t>
            </w:r>
          </w:p>
          <w:p>
            <w:r>
              <w:t>Maréchal</w:t>
              <w:br/>
              <w:t>46 Lydia Squares, North Maureenton, EH4E 1EX</w:t>
              <w:br/>
              <w:t>traudel54@pohl.org</w:t>
            </w:r>
          </w:p>
        </w:tc>
        <w:tc>
          <w:tcPr>
            <w:tcW w:type="dxa" w:w="5112"/>
          </w:tcPr>
          <w:p>
            <w:r>
              <w:rPr>
                <w:b/>
                <w:color w:val="1F3B73"/>
              </w:rPr>
              <w:t>From</w:t>
            </w:r>
          </w:p>
          <w:p>
            <w:r>
              <w:t>Neuschäfer</w:t>
              <w:br/>
              <w:t>400, avenue de Guillou, 51139 Barbier-sur-Gillet</w:t>
              <w:br/>
              <w:t>clementsfrancesca@turner-smith.biz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Qty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Quality-focused 3rdgeneration standardization</w:t>
            </w:r>
          </w:p>
        </w:tc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AUD 885.03</w:t>
            </w:r>
          </w:p>
        </w:tc>
        <w:tc>
          <w:tcPr>
            <w:tcW w:type="dxa" w:w="2045"/>
          </w:tcPr>
          <w:p>
            <w:r>
              <w:t>AUD 12,390.42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Transition Holistic Bandwidth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AUD 492.87</w:t>
            </w:r>
          </w:p>
        </w:tc>
        <w:tc>
          <w:tcPr>
            <w:tcW w:type="dxa" w:w="2045"/>
          </w:tcPr>
          <w:p>
            <w:r>
              <w:t>AUD 1,478.61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Matrix Collaborative Models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AUD 81.79</w:t>
            </w:r>
          </w:p>
        </w:tc>
        <w:tc>
          <w:tcPr>
            <w:tcW w:type="dxa" w:w="2045"/>
          </w:tcPr>
          <w:p>
            <w:r>
              <w:t>AUD 327.16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Transition Efficient Paradigms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AUD 83.54</w:t>
            </w:r>
          </w:p>
        </w:tc>
        <w:tc>
          <w:tcPr>
            <w:tcW w:type="dxa" w:w="2045"/>
          </w:tcPr>
          <w:p>
            <w:r>
              <w:t>AUD 334.16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Re-Contextualize Back-End E-Commerce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AUD 686.89</w:t>
            </w:r>
          </w:p>
        </w:tc>
        <w:tc>
          <w:tcPr>
            <w:tcW w:type="dxa" w:w="2045"/>
          </w:tcPr>
          <w:p>
            <w:r>
              <w:t>AUD 6,868.90</w:t>
            </w:r>
          </w:p>
        </w:tc>
      </w:tr>
    </w:tbl>
    <w:p/>
    <w:p>
      <w:pPr>
        <w:jc w:val="right"/>
      </w:pPr>
      <w:r>
        <w:rPr>
          <w:b w:val="0"/>
        </w:rPr>
        <w:t>Subtotal:    AUD 21,399.25</w:t>
      </w:r>
    </w:p>
    <w:p>
      <w:pPr>
        <w:jc w:val="right"/>
      </w:pPr>
      <w:r>
        <w:rPr>
          <w:b w:val="0"/>
        </w:rPr>
        <w:t>Discount:    -AUD 1,069.96</w:t>
      </w:r>
    </w:p>
    <w:p>
      <w:pPr>
        <w:jc w:val="right"/>
      </w:pPr>
      <w:r>
        <w:rPr>
          <w:b w:val="0"/>
        </w:rPr>
        <w:t>Estimated Tax:    AUD 1,711.94</w:t>
      </w:r>
    </w:p>
    <w:p>
      <w:pPr>
        <w:jc w:val="right"/>
      </w:pPr>
      <w:r>
        <w:rPr>
          <w:b/>
        </w:rPr>
        <w:t>Estimated Total:    AUD 22,041.23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