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44"/>
        </w:rPr>
        <w:t>PRICE QUOTE</w:t>
      </w:r>
    </w:p>
    <w:p>
      <w:r>
        <w:rPr>
          <w:b/>
        </w:rPr>
        <w:t>Carroll-Morgan</w:t>
      </w:r>
      <w:r>
        <w:br/>
        <w:t>7, chemin Robin, 49201 Ruiz-la-Forêt</w:t>
        <w:br/>
        <w:t>001-525-553-5560x6449  chaneycarolyn@lewis.biz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412"/>
          </w:tcPr>
          <w:p>
            <w:r>
              <w:t>Q-9335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12"/>
          </w:tcPr>
          <w:p>
            <w:r>
              <w:t>Stéphanie Lucas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2026-08-12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412"/>
          </w:tcPr>
          <w:p>
            <w:r>
              <w:t>REF-vQ16vt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412"/>
          </w:tcPr>
          <w:p>
            <w:r>
              <w:t>2026-09-11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6400"/>
              </w:rPr>
              <w:t>Prepared For</w:t>
            </w:r>
          </w:p>
          <w:p>
            <w:r>
              <w:t>Carroll-Morgan</w:t>
              <w:br/>
              <w:t>7, chemin Robin, 49201 Ruiz-la-Forêt</w:t>
              <w:br/>
              <w:t>chaneycarolyn@lewis.biz</w:t>
            </w:r>
          </w:p>
        </w:tc>
        <w:tc>
          <w:tcPr>
            <w:tcW w:type="dxa" w:w="4824"/>
          </w:tcPr>
          <w:p>
            <w:r>
              <w:rPr>
                <w:b/>
                <w:color w:val="006400"/>
              </w:rPr>
              <w:t>From</w:t>
            </w:r>
          </w:p>
          <w:p>
            <w:r>
              <w:t>Doyle, Cooper and Stanley</w:t>
              <w:br/>
              <w:t>58, boulevard François, 67810 Valette-sur-Mer</w:t>
              <w:br/>
              <w:t>gordon81@lindner.org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Total fault-tolerant synergy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CHF 539.08</w:t>
            </w:r>
          </w:p>
        </w:tc>
        <w:tc>
          <w:tcPr>
            <w:tcW w:type="dxa" w:w="1930"/>
          </w:tcPr>
          <w:p>
            <w:r>
              <w:t>CHF 5,390.80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Synchronized 6thgeneration help-desk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CHF 386.81</w:t>
            </w:r>
          </w:p>
        </w:tc>
        <w:tc>
          <w:tcPr>
            <w:tcW w:type="dxa" w:w="1930"/>
          </w:tcPr>
          <w:p>
            <w:r>
              <w:t>CHF 1,547.24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Optimized actuating superstructure</w:t>
            </w:r>
          </w:p>
        </w:tc>
        <w:tc>
          <w:tcPr>
            <w:tcW w:type="dxa" w:w="1930"/>
          </w:tcPr>
          <w:p>
            <w:r>
              <w:t>7</w:t>
            </w:r>
          </w:p>
        </w:tc>
        <w:tc>
          <w:tcPr>
            <w:tcW w:type="dxa" w:w="1930"/>
          </w:tcPr>
          <w:p>
            <w:r>
              <w:t>CHF 530.08</w:t>
            </w:r>
          </w:p>
        </w:tc>
        <w:tc>
          <w:tcPr>
            <w:tcW w:type="dxa" w:w="1930"/>
          </w:tcPr>
          <w:p>
            <w:r>
              <w:t>CHF 3,710.56</w:t>
            </w:r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Drive Synergistic Functionalities</w:t>
            </w:r>
          </w:p>
        </w:tc>
        <w:tc>
          <w:tcPr>
            <w:tcW w:type="dxa" w:w="1930"/>
          </w:tcPr>
          <w:p>
            <w:r>
              <w:t>9</w:t>
            </w:r>
          </w:p>
        </w:tc>
        <w:tc>
          <w:tcPr>
            <w:tcW w:type="dxa" w:w="1930"/>
          </w:tcPr>
          <w:p>
            <w:r>
              <w:t>CHF 610.83</w:t>
            </w:r>
          </w:p>
        </w:tc>
        <w:tc>
          <w:tcPr>
            <w:tcW w:type="dxa" w:w="1930"/>
          </w:tcPr>
          <w:p>
            <w:r>
              <w:t>CHF 5,497.47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Facilitate Front-End Content</w:t>
            </w:r>
          </w:p>
        </w:tc>
        <w:tc>
          <w:tcPr>
            <w:tcW w:type="dxa" w:w="1930"/>
          </w:tcPr>
          <w:p>
            <w:r>
              <w:t>19</w:t>
            </w:r>
          </w:p>
        </w:tc>
        <w:tc>
          <w:tcPr>
            <w:tcW w:type="dxa" w:w="1930"/>
          </w:tcPr>
          <w:p>
            <w:r>
              <w:t>CHF 395.07</w:t>
            </w:r>
          </w:p>
        </w:tc>
        <w:tc>
          <w:tcPr>
            <w:tcW w:type="dxa" w:w="1930"/>
          </w:tcPr>
          <w:p>
            <w:r>
              <w:t>CHF 7,506.33</w:t>
            </w:r>
          </w:p>
        </w:tc>
      </w:tr>
      <w:tr>
        <w:tc>
          <w:tcPr>
            <w:tcW w:type="dxa" w:w="1930"/>
          </w:tcPr>
          <w:p>
            <w:r>
              <w:t>6</w:t>
            </w:r>
          </w:p>
        </w:tc>
        <w:tc>
          <w:tcPr>
            <w:tcW w:type="dxa" w:w="1930"/>
          </w:tcPr>
          <w:p>
            <w:r>
              <w:t>Le confort d'avancer naturellement</w:t>
            </w:r>
          </w:p>
        </w:tc>
        <w:tc>
          <w:tcPr>
            <w:tcW w:type="dxa" w:w="1930"/>
          </w:tcPr>
          <w:p>
            <w:r>
              <w:t>19</w:t>
            </w:r>
          </w:p>
        </w:tc>
        <w:tc>
          <w:tcPr>
            <w:tcW w:type="dxa" w:w="1930"/>
          </w:tcPr>
          <w:p>
            <w:r>
              <w:t>CHF 294.83</w:t>
            </w:r>
          </w:p>
        </w:tc>
        <w:tc>
          <w:tcPr>
            <w:tcW w:type="dxa" w:w="1930"/>
          </w:tcPr>
          <w:p>
            <w:r>
              <w:t>CHF 5,601.77</w:t>
            </w:r>
          </w:p>
        </w:tc>
      </w:tr>
      <w:tr>
        <w:tc>
          <w:tcPr>
            <w:tcW w:type="dxa" w:w="1930"/>
          </w:tcPr>
          <w:p>
            <w:r>
              <w:t>7</w:t>
            </w:r>
          </w:p>
        </w:tc>
        <w:tc>
          <w:tcPr>
            <w:tcW w:type="dxa" w:w="1930"/>
          </w:tcPr>
          <w:p>
            <w:r>
              <w:t>Fundamental radical alliance</w:t>
            </w:r>
          </w:p>
        </w:tc>
        <w:tc>
          <w:tcPr>
            <w:tcW w:type="dxa" w:w="1930"/>
          </w:tcPr>
          <w:p>
            <w:r>
              <w:t>17</w:t>
            </w:r>
          </w:p>
        </w:tc>
        <w:tc>
          <w:tcPr>
            <w:tcW w:type="dxa" w:w="1930"/>
          </w:tcPr>
          <w:p>
            <w:r>
              <w:t>CHF 79.74</w:t>
            </w:r>
          </w:p>
        </w:tc>
        <w:tc>
          <w:tcPr>
            <w:tcW w:type="dxa" w:w="1930"/>
          </w:tcPr>
          <w:p>
            <w:r>
              <w:t>CHF 1,355.58</w:t>
            </w:r>
          </w:p>
        </w:tc>
      </w:tr>
      <w:tr>
        <w:tc>
          <w:tcPr>
            <w:tcW w:type="dxa" w:w="1930"/>
          </w:tcPr>
          <w:p>
            <w:r>
              <w:t>8</w:t>
            </w:r>
          </w:p>
        </w:tc>
        <w:tc>
          <w:tcPr>
            <w:tcW w:type="dxa" w:w="1930"/>
          </w:tcPr>
          <w:p>
            <w:r>
              <w:t>Revolutionize Synergistic Schemas</w:t>
            </w:r>
          </w:p>
        </w:tc>
        <w:tc>
          <w:tcPr>
            <w:tcW w:type="dxa" w:w="1930"/>
          </w:tcPr>
          <w:p>
            <w:r>
              <w:t>16</w:t>
            </w:r>
          </w:p>
        </w:tc>
        <w:tc>
          <w:tcPr>
            <w:tcW w:type="dxa" w:w="1930"/>
          </w:tcPr>
          <w:p>
            <w:r>
              <w:t>CHF 308.36</w:t>
            </w:r>
          </w:p>
        </w:tc>
        <w:tc>
          <w:tcPr>
            <w:tcW w:type="dxa" w:w="1930"/>
          </w:tcPr>
          <w:p>
            <w:r>
              <w:t>CHF 4,933.76</w:t>
            </w:r>
          </w:p>
        </w:tc>
      </w:tr>
    </w:tbl>
    <w:p/>
    <w:p>
      <w:pPr>
        <w:jc w:val="right"/>
      </w:pPr>
      <w:r>
        <w:rPr>
          <w:b w:val="0"/>
        </w:rPr>
        <w:t>Subtotal:    CHF 35,543.51</w:t>
      </w:r>
    </w:p>
    <w:p>
      <w:pPr>
        <w:jc w:val="right"/>
      </w:pPr>
      <w:r>
        <w:rPr>
          <w:b w:val="0"/>
        </w:rPr>
        <w:t>Discount:    -CHF 1,777.18</w:t>
      </w:r>
    </w:p>
    <w:p>
      <w:pPr>
        <w:jc w:val="right"/>
      </w:pPr>
      <w:r>
        <w:rPr>
          <w:b w:val="0"/>
        </w:rPr>
        <w:t>Estimated Tax:    CHF 2,843.48</w:t>
      </w:r>
    </w:p>
    <w:p>
      <w:pPr>
        <w:jc w:val="right"/>
      </w:pPr>
      <w:r>
        <w:rPr>
          <w:b/>
        </w:rPr>
        <w:t>Estimated Total:    CHF 36,609.82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