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36"/>
        </w:rPr>
        <w:t>Labour Hours Report</w:t>
      </w:r>
    </w:p>
    <w:p>
      <w:r>
        <w:rPr>
          <w:b/>
        </w:rPr>
        <w:t>Tyler Group</w:t>
      </w:r>
      <w:r>
        <w:br/>
        <w:t>55, Kannan Zila, Ambattur-353799</w:t>
        <w:br/>
        <w:t>851.316.3726x5167  scottday@franklin.org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412"/>
          </w:tcPr>
          <w:p>
            <w:r>
              <w:t>Mathew Marsh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412"/>
          </w:tcPr>
          <w:p>
            <w:r>
              <w:t>Jayne Hughes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412"/>
          </w:tcPr>
          <w:p>
            <w:r>
              <w:t>E39336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412"/>
          </w:tcPr>
          <w:p>
            <w:r>
              <w:t>Full-time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412"/>
          </w:tcPr>
          <w:p>
            <w:r>
              <w:t>2026-03-04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4B0082"/>
              </w:rPr>
              <w:t>Company</w:t>
            </w:r>
          </w:p>
          <w:p>
            <w:r>
              <w:t>Tyler Group</w:t>
              <w:br/>
              <w:t>55, Kannan Zila, Ambattur-353799</w:t>
              <w:br/>
              <w:t>scottday@franklin.org</w:t>
            </w:r>
          </w:p>
        </w:tc>
        <w:tc>
          <w:tcPr>
            <w:tcW w:type="dxa" w:w="4824"/>
          </w:tcPr>
          <w:p>
            <w:r>
              <w:rPr>
                <w:b/>
                <w:color w:val="4B0082"/>
              </w:rPr>
              <w:t>Client / Site</w:t>
            </w:r>
          </w:p>
          <w:p>
            <w:r>
              <w:t>Lefebvre Garcia et Fils</w:t>
              <w:br/>
              <w:t>3304 Kelly Garden, Jordanchester, MP 17681</w:t>
              <w:br/>
              <w:t>diallosusanne@giraud.com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608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08"/>
          </w:tcPr>
          <w:p>
            <w:r>
              <w:t>Thu 26 Feb</w:t>
            </w:r>
          </w:p>
        </w:tc>
        <w:tc>
          <w:tcPr>
            <w:tcW w:type="dxa" w:w="1608"/>
          </w:tcPr>
          <w:p>
            <w:r>
              <w:t>PRJ-859</w:t>
            </w:r>
          </w:p>
        </w:tc>
        <w:tc>
          <w:tcPr>
            <w:tcW w:type="dxa" w:w="1608"/>
          </w:tcPr>
          <w:p>
            <w:r>
              <w:t>Harness End-To-End Mindshare</w:t>
            </w:r>
          </w:p>
        </w:tc>
        <w:tc>
          <w:tcPr>
            <w:tcW w:type="dxa" w:w="1608"/>
          </w:tcPr>
          <w:p>
            <w:r>
              <w:t>10.0</w:t>
            </w:r>
          </w:p>
        </w:tc>
        <w:tc>
          <w:tcPr>
            <w:tcW w:type="dxa" w:w="1608"/>
          </w:tcPr>
          <w:p>
            <w:r>
              <w:t>2.0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Fri 27 Feb</w:t>
            </w:r>
          </w:p>
        </w:tc>
        <w:tc>
          <w:tcPr>
            <w:tcW w:type="dxa" w:w="1608"/>
          </w:tcPr>
          <w:p>
            <w:r>
              <w:t>PRJ-078</w:t>
            </w:r>
          </w:p>
        </w:tc>
        <w:tc>
          <w:tcPr>
            <w:tcW w:type="dxa" w:w="1608"/>
          </w:tcPr>
          <w:p>
            <w:r>
              <w:t>Strategize Wireless Interfaces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Sat 28 Feb</w:t>
            </w:r>
          </w:p>
        </w:tc>
        <w:tc>
          <w:tcPr>
            <w:tcW w:type="dxa" w:w="1608"/>
          </w:tcPr>
          <w:p>
            <w:r>
              <w:t>PRJ-760</w:t>
            </w:r>
          </w:p>
        </w:tc>
        <w:tc>
          <w:tcPr>
            <w:tcW w:type="dxa" w:w="1608"/>
          </w:tcPr>
          <w:p>
            <w:r>
              <w:t>Optimize Best-Of-Breed Systems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Sun 01 Mar</w:t>
            </w:r>
          </w:p>
        </w:tc>
        <w:tc>
          <w:tcPr>
            <w:tcW w:type="dxa" w:w="1608"/>
          </w:tcPr>
          <w:p>
            <w:r>
              <w:t>PRJ-159</w:t>
            </w:r>
          </w:p>
        </w:tc>
        <w:tc>
          <w:tcPr>
            <w:tcW w:type="dxa" w:w="1608"/>
          </w:tcPr>
          <w:p>
            <w:r>
              <w:t>Transform Clicks-And-Mortar Ne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Mon 02 Mar</w:t>
            </w:r>
          </w:p>
        </w:tc>
        <w:tc>
          <w:tcPr>
            <w:tcW w:type="dxa" w:w="1608"/>
          </w:tcPr>
          <w:p>
            <w:r>
              <w:t>PRJ-815</w:t>
            </w:r>
          </w:p>
        </w:tc>
        <w:tc>
          <w:tcPr>
            <w:tcW w:type="dxa" w:w="1608"/>
          </w:tcPr>
          <w:p>
            <w:r>
              <w:t>Utilize Intuitive E-Tailers</w:t>
            </w:r>
          </w:p>
        </w:tc>
        <w:tc>
          <w:tcPr>
            <w:tcW w:type="dxa" w:w="1608"/>
          </w:tcPr>
          <w:p>
            <w:r>
              <w:t>10.0</w:t>
            </w:r>
          </w:p>
        </w:tc>
        <w:tc>
          <w:tcPr>
            <w:tcW w:type="dxa" w:w="1608"/>
          </w:tcPr>
          <w:p>
            <w:r>
              <w:t>2.0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Tue 03 Mar</w:t>
            </w:r>
          </w:p>
        </w:tc>
        <w:tc>
          <w:tcPr>
            <w:tcW w:type="dxa" w:w="1608"/>
          </w:tcPr>
          <w:p>
            <w:r>
              <w:t>PRJ-624</w:t>
            </w:r>
          </w:p>
        </w:tc>
        <w:tc>
          <w:tcPr>
            <w:tcW w:type="dxa" w:w="1608"/>
          </w:tcPr>
          <w:p>
            <w:r>
              <w:t>Expedite Bricks-And-Clicks Inf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Wed 04 Mar</w:t>
            </w:r>
          </w:p>
        </w:tc>
        <w:tc>
          <w:tcPr>
            <w:tcW w:type="dxa" w:w="1608"/>
          </w:tcPr>
          <w:p>
            <w:r>
              <w:t>PRJ-177</w:t>
            </w:r>
          </w:p>
        </w:tc>
        <w:tc>
          <w:tcPr>
            <w:tcW w:type="dxa" w:w="1608"/>
          </w:tcPr>
          <w:p>
            <w:r>
              <w:t>Syndicate Extensible Infrastru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Thu 05 Mar</w:t>
            </w:r>
          </w:p>
        </w:tc>
        <w:tc>
          <w:tcPr>
            <w:tcW w:type="dxa" w:w="1608"/>
          </w:tcPr>
          <w:p>
            <w:r>
              <w:t>PRJ-154</w:t>
            </w:r>
          </w:p>
        </w:tc>
        <w:tc>
          <w:tcPr>
            <w:tcW w:type="dxa" w:w="1608"/>
          </w:tcPr>
          <w:p>
            <w:r>
              <w:t>E-Enable Granular Deliverables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Fri 06 Mar</w:t>
            </w:r>
          </w:p>
        </w:tc>
        <w:tc>
          <w:tcPr>
            <w:tcW w:type="dxa" w:w="1608"/>
          </w:tcPr>
          <w:p>
            <w:r>
              <w:t>PRJ-385</w:t>
            </w:r>
          </w:p>
        </w:tc>
        <w:tc>
          <w:tcPr>
            <w:tcW w:type="dxa" w:w="1608"/>
          </w:tcPr>
          <w:p>
            <w:r>
              <w:t>Scale Proactive Deliverables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Sat 07 Mar</w:t>
            </w:r>
          </w:p>
        </w:tc>
        <w:tc>
          <w:tcPr>
            <w:tcW w:type="dxa" w:w="1608"/>
          </w:tcPr>
          <w:p>
            <w:r>
              <w:t>PRJ-148</w:t>
            </w:r>
          </w:p>
        </w:tc>
        <w:tc>
          <w:tcPr>
            <w:tcW w:type="dxa" w:w="1608"/>
          </w:tcPr>
          <w:p>
            <w:r>
              <w:t>Redefine Frictionless Converge</w:t>
            </w:r>
          </w:p>
        </w:tc>
        <w:tc>
          <w:tcPr>
            <w:tcW w:type="dxa" w:w="1608"/>
          </w:tcPr>
          <w:p>
            <w:r>
              <w:t>10.0</w:t>
            </w:r>
          </w:p>
        </w:tc>
        <w:tc>
          <w:tcPr>
            <w:tcW w:type="dxa" w:w="1608"/>
          </w:tcPr>
          <w:p>
            <w:r>
              <w:t>2.0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</w:tbl>
    <w:p/>
    <w:p>
      <w:pPr>
        <w:jc w:val="right"/>
      </w:pPr>
      <w:r>
        <w:rPr>
          <w:b w:val="0"/>
        </w:rPr>
        <w:t>Total Hours:    71.0</w:t>
      </w:r>
    </w:p>
    <w:p>
      <w:pPr>
        <w:jc w:val="right"/>
      </w:pPr>
      <w:r>
        <w:rPr>
          <w:b/>
        </w:rPr>
        <w:t>Total Overtime:    7.0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