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SWOT Analysis: SmartBudget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4095"/>
        <w:gridCol w:w="4320"/>
        <w:tblGridChange w:id="0">
          <w:tblGrid>
            <w:gridCol w:w="945"/>
            <w:gridCol w:w="4095"/>
            <w:gridCol w:w="4320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66725" cy="12065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1080775" y="940675"/>
                                <a:ext cx="1270800" cy="48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Company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66725" cy="12065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1206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spacing w:line="240" w:lineRule="auto"/>
              <w:rPr/>
            </w:pPr>
            <w:bookmarkStart w:colFirst="0" w:colLast="0" w:name="_xl7f8c1yl061" w:id="0"/>
            <w:bookmarkEnd w:id="0"/>
            <w:r w:rsidDel="00000000" w:rsidR="00000000" w:rsidRPr="00000000">
              <w:rPr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Simple, user-friendly dashboard focused on students and young professionals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Real-time alerts and visual insights improve financial awareness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Customizable categories and goals personalize the experience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Lightweight, scalable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widowControl w:val="0"/>
              <w:spacing w:line="240" w:lineRule="auto"/>
              <w:rPr/>
            </w:pPr>
            <w:bookmarkStart w:colFirst="0" w:colLast="0" w:name="_9n1ro8l4b8im" w:id="1"/>
            <w:bookmarkEnd w:id="1"/>
            <w:r w:rsidDel="00000000" w:rsidR="00000000" w:rsidRPr="00000000">
              <w:rPr>
                <w:rtl w:val="0"/>
              </w:rPr>
              <w:t xml:space="preserve">Weaknesses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Limited feature set at MVP stage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native mobile app initially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Requires manual data entry without bank integration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Small development team and limited resources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66725" cy="121169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1080775" y="940675"/>
                                <a:ext cx="1270800" cy="48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Industry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66725" cy="121169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12116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widowControl w:val="0"/>
              <w:spacing w:line="240" w:lineRule="auto"/>
              <w:rPr/>
            </w:pPr>
            <w:bookmarkStart w:colFirst="0" w:colLast="0" w:name="_tblbj6asgpwl" w:id="2"/>
            <w:bookmarkEnd w:id="2"/>
            <w:r w:rsidDel="00000000" w:rsidR="00000000" w:rsidRPr="00000000">
              <w:rPr>
                <w:rtl w:val="0"/>
              </w:rPr>
              <w:t xml:space="preserve">Opportunities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Rising demand for digital finance tools and student budgeting solutions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Future integration with banking APIs and financial literacy programs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Potential for AI-driven insights and predictive recommendations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Partnerships with universities and financial institutions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widowControl w:val="0"/>
              <w:spacing w:line="240" w:lineRule="auto"/>
              <w:rPr/>
            </w:pPr>
            <w:bookmarkStart w:colFirst="0" w:colLast="0" w:name="_kexfxyq8s89z" w:id="3"/>
            <w:bookmarkEnd w:id="3"/>
            <w:r w:rsidDel="00000000" w:rsidR="00000000" w:rsidRPr="00000000">
              <w:rPr>
                <w:rtl w:val="0"/>
              </w:rPr>
              <w:t xml:space="preserve">Threats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Intense competition from established apps (Mint, YNAB, etc.)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privacy and security regulations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adoption risks if UI/UX isn’t intuitive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Rapidly evolving fintech landscapel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