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4F" w:rsidRDefault="00C9404F">
      <w:r>
        <w:t xml:space="preserve">MessagePanel is a </w:t>
      </w:r>
      <w:r>
        <w:rPr>
          <w:rStyle w:val="CodeChar"/>
        </w:rPr>
        <w:t>UserControl</w:t>
      </w:r>
      <w:r>
        <w:t xml:space="preserve"> that can be used in place of the standard MessageBox.  It provides much of the same functionality but in a more flat UI and includes “shading” over the main window area to not make the message not only modal functionally but also visually.</w:t>
      </w:r>
    </w:p>
    <w:p w:rsidR="00C9404F" w:rsidRDefault="00C9404F">
      <w:r>
        <w:t>The MessagePanel works by the consuming code setting a local value indicating the local operation for which the message is being displayed, s</w:t>
      </w:r>
      <w:bookmarkStart w:id="0" w:name="_GoBack"/>
      <w:bookmarkEnd w:id="0"/>
      <w:r>
        <w:t>howing the message, and then acting upon the user’s response.</w:t>
      </w:r>
    </w:p>
    <w:p w:rsidR="00C9404F" w:rsidRDefault="00C9404F">
      <w:pPr>
        <w:pStyle w:val="Heading1"/>
      </w:pPr>
      <w:r>
        <w:t>Consuming MessagePanel</w:t>
      </w:r>
    </w:p>
    <w:p w:rsidR="00C9404F" w:rsidRDefault="00C9404F">
      <w:r>
        <w:t>In your view model add two things:</w:t>
      </w:r>
    </w:p>
    <w:p w:rsidR="00C9404F" w:rsidRDefault="00C9404F">
      <w:pPr>
        <w:pStyle w:val="ListParagraph"/>
        <w:numPr>
          <w:ilvl w:val="0"/>
          <w:numId w:val="2"/>
        </w:numPr>
      </w:pPr>
      <w:r>
        <w:t xml:space="preserve">An enumeration that identifies each action that can be taken; e.g., </w:t>
      </w:r>
      <w:r>
        <w:rPr>
          <w:rStyle w:val="CodeChar"/>
        </w:rPr>
        <w:t>MessageAction</w:t>
      </w:r>
      <w:r>
        <w:t>.</w:t>
      </w:r>
    </w:p>
    <w:p w:rsidR="00C9404F" w:rsidRDefault="00C9404F">
      <w:pPr>
        <w:pStyle w:val="ListParagraph"/>
        <w:numPr>
          <w:ilvl w:val="0"/>
          <w:numId w:val="2"/>
        </w:numPr>
      </w:pPr>
      <w:r>
        <w:t xml:space="preserve">A property to contain the current </w:t>
      </w:r>
      <w:r>
        <w:rPr>
          <w:rStyle w:val="CodeChar"/>
        </w:rPr>
        <w:t>MessageAction</w:t>
      </w:r>
      <w:r>
        <w:t xml:space="preserve"> in play; e.g., </w:t>
      </w:r>
      <w:r>
        <w:rPr>
          <w:rStyle w:val="CodeChar"/>
        </w:rPr>
        <w:t>currentMessageAction</w:t>
      </w:r>
      <w:r>
        <w:t>.</w:t>
      </w:r>
    </w:p>
    <w:p w:rsidR="00C9404F" w:rsidRDefault="00C9404F">
      <w:pPr>
        <w:pStyle w:val="ListParagraph"/>
        <w:numPr>
          <w:ilvl w:val="0"/>
          <w:numId w:val="2"/>
        </w:numPr>
      </w:pPr>
      <w:r>
        <w:t xml:space="preserve">A property to which the </w:t>
      </w:r>
      <w:r>
        <w:rPr>
          <w:rStyle w:val="CodeChar"/>
        </w:rPr>
        <w:t>MessagePanel.MessageResponse</w:t>
      </w:r>
      <w:r>
        <w:t xml:space="preserve"> property will be bound; e.g, </w:t>
      </w:r>
      <w:r>
        <w:rPr>
          <w:rStyle w:val="CodeChar"/>
        </w:rPr>
        <w:t>MainMessageResponse</w:t>
      </w:r>
      <w:r>
        <w:t>;</w:t>
      </w:r>
    </w:p>
    <w:p w:rsidR="00C9404F" w:rsidRDefault="00C9404F">
      <w:r>
        <w:t xml:space="preserve">In your window XAML, add a reference to the </w:t>
      </w:r>
      <w:r>
        <w:rPr>
          <w:rStyle w:val="CodeChar"/>
        </w:rPr>
        <w:t>Common.UserControls</w:t>
      </w:r>
      <w:r>
        <w:t xml:space="preserve"> namespace and add an entry for the user control as a peer to your main control:</w:t>
      </w:r>
    </w:p>
    <w:p w:rsidR="00C9404F" w:rsidRDefault="00C9404F">
      <w:pPr>
        <w:pStyle w:val="Code"/>
      </w:pPr>
      <w:r>
        <w:t>&lt;Window x:Class="YourApp.Views.MainWindow"</w:t>
      </w:r>
    </w:p>
    <w:p w:rsidR="00C9404F" w:rsidRDefault="00C9404F">
      <w:pPr>
        <w:pStyle w:val="Code"/>
      </w:pPr>
      <w:r>
        <w:tab/>
        <w:t>xmlns="http://schemas.microsoft.com/winfx/2006/xaml/presentation"</w:t>
      </w:r>
    </w:p>
    <w:p w:rsidR="00C9404F" w:rsidRDefault="00C9404F">
      <w:pPr>
        <w:pStyle w:val="Code"/>
      </w:pPr>
      <w:r>
        <w:tab/>
        <w:t>xmlns:x="http://schemas.microsoft.com/winfx/2006/xaml"</w:t>
      </w:r>
    </w:p>
    <w:p w:rsidR="00C9404F" w:rsidRDefault="00C9404F">
      <w:pPr>
        <w:pStyle w:val="Code"/>
      </w:pPr>
      <w:r>
        <w:tab/>
        <w:t>xmlns:d="http://schemas.microsoft.com/expression/blend/2008"</w:t>
      </w:r>
    </w:p>
    <w:p w:rsidR="00C9404F" w:rsidRDefault="00C9404F">
      <w:pPr>
        <w:pStyle w:val="Code"/>
      </w:pPr>
      <w:r>
        <w:tab/>
        <w:t>xmlns:mc=http://schemas.openxmlformats.org/markup-compatibility/2006</w:t>
      </w:r>
    </w:p>
    <w:p w:rsidR="00C9404F" w:rsidRDefault="00C9404F">
      <w:pPr>
        <w:pStyle w:val="Code"/>
      </w:pPr>
      <w:r>
        <w:tab/>
        <w:t>xmlns:uc="clr-namespace:Common.UserControls;assembly=Common"</w:t>
      </w:r>
    </w:p>
    <w:p w:rsidR="00C9404F" w:rsidRDefault="00C9404F">
      <w:pPr>
        <w:pStyle w:val="Code"/>
      </w:pPr>
      <w:r>
        <w:tab/>
        <w:t>...</w:t>
      </w:r>
    </w:p>
    <w:p w:rsidR="00C9404F" w:rsidRDefault="00C9404F">
      <w:pPr>
        <w:pStyle w:val="Code"/>
      </w:pPr>
      <w:r>
        <w:t>&gt;</w:t>
      </w:r>
    </w:p>
    <w:p w:rsidR="00C9404F" w:rsidRDefault="00C9404F">
      <w:pPr>
        <w:pStyle w:val="Code"/>
      </w:pPr>
      <w:r>
        <w:t>&lt;Grid&gt;</w:t>
      </w:r>
    </w:p>
    <w:p w:rsidR="00C9404F" w:rsidRDefault="00C9404F">
      <w:pPr>
        <w:pStyle w:val="Code"/>
      </w:pPr>
      <w:r>
        <w:t>...</w:t>
      </w:r>
    </w:p>
    <w:p w:rsidR="00C9404F" w:rsidRDefault="00C9404F">
      <w:pPr>
        <w:pStyle w:val="Code"/>
      </w:pPr>
      <w:r>
        <w:t>&lt;/Grid&gt;</w:t>
      </w:r>
    </w:p>
    <w:p w:rsidR="00C9404F" w:rsidRDefault="00C9404F">
      <w:pPr>
        <w:pStyle w:val="Code"/>
      </w:pPr>
    </w:p>
    <w:p w:rsidR="00C9404F" w:rsidRDefault="00C9404F">
      <w:pPr>
        <w:pStyle w:val="Code"/>
      </w:pPr>
      <w:r>
        <w:t>&lt;uc:MessagePanel Name="MessagePanel" MessageResponse="{Binding MainMessageResponse}" /&gt;</w:t>
      </w:r>
    </w:p>
    <w:p w:rsidR="00C9404F" w:rsidRDefault="00C9404F">
      <w:pPr>
        <w:pStyle w:val="Code"/>
      </w:pPr>
    </w:p>
    <w:p w:rsidR="00C9404F" w:rsidRDefault="00C9404F">
      <w:pPr>
        <w:pStyle w:val="Code"/>
      </w:pPr>
      <w:r>
        <w:t>&lt;/Window&gt;</w:t>
      </w:r>
    </w:p>
    <w:p w:rsidR="00C9404F" w:rsidRDefault="00C9404F"/>
    <w:p w:rsidR="00C9404F" w:rsidRDefault="00C9404F">
      <w:r>
        <w:t xml:space="preserve">MessagePanel provides several variations of its </w:t>
      </w:r>
      <w:r>
        <w:rPr>
          <w:rStyle w:val="CodeChar"/>
        </w:rPr>
        <w:t>Show()</w:t>
      </w:r>
      <w:r>
        <w:t xml:space="preserve"> method similar to the standard MessageBox. The various options support whether or not to have a title, which buttons to show, etc.  NOTE: MessagePanel does not currently provide for any icons to be displayed.</w:t>
      </w:r>
    </w:p>
    <w:p w:rsidR="00C9404F" w:rsidRDefault="00C9404F">
      <w:r>
        <w:t>MessagePanel provides three message types with three pre-defined button sets:</w:t>
      </w:r>
    </w:p>
    <w:p w:rsidR="00C9404F" w:rsidRDefault="00C9404F">
      <w:pPr>
        <w:pStyle w:val="Code"/>
      </w:pPr>
      <w:r>
        <w:t>MessagePanel.MessageType.Ok</w:t>
      </w:r>
    </w:p>
    <w:p w:rsidR="00C9404F" w:rsidRDefault="00C9404F">
      <w:pPr>
        <w:pStyle w:val="Code"/>
      </w:pPr>
      <w:r>
        <w:t>MessagePanel.MessageType.OkCancel</w:t>
      </w:r>
    </w:p>
    <w:p w:rsidR="00C9404F" w:rsidRDefault="00C9404F">
      <w:pPr>
        <w:pStyle w:val="Code"/>
        <w:rPr>
          <w:rFonts w:asciiTheme="minorHAnsi" w:hAnsiTheme="minorHAnsi"/>
        </w:rPr>
      </w:pPr>
      <w:r>
        <w:t>MessagePanel.MessageType.YesNo</w:t>
      </w:r>
    </w:p>
    <w:p w:rsidR="00C9404F" w:rsidRDefault="00C9404F">
      <w:pPr>
        <w:pStyle w:val="Heading1"/>
      </w:pPr>
      <w:r>
        <w:t>Using MessagePanel</w:t>
      </w:r>
    </w:p>
    <w:p w:rsidR="00C9404F" w:rsidRDefault="00C9404F">
      <w:r>
        <w:t xml:space="preserve">MessagePanel is invoked via one of its Show() methods.  The view model sets the </w:t>
      </w:r>
      <w:r>
        <w:rPr>
          <w:rStyle w:val="CodeChar"/>
        </w:rPr>
        <w:t>currentMessageAction</w:t>
      </w:r>
      <w:r>
        <w:t xml:space="preserve"> indicating why the message is being displayed and then </w:t>
      </w:r>
      <w:r>
        <w:rPr>
          <w:rStyle w:val="CodeChar"/>
        </w:rPr>
        <w:t>MessagePanel.Show()</w:t>
      </w:r>
      <w:r>
        <w:t xml:space="preserve"> with the desired options.  </w:t>
      </w:r>
    </w:p>
    <w:p w:rsidR="00C9404F" w:rsidRDefault="00C9404F">
      <w:r>
        <w:t xml:space="preserve">The view model must contain a </w:t>
      </w:r>
      <w:r>
        <w:rPr>
          <w:rStyle w:val="CodeChar"/>
        </w:rPr>
        <w:t>switch(currentMessageAction)</w:t>
      </w:r>
      <w:r>
        <w:t xml:space="preserve"> – or some other means – of determining the action to take based upon: a) the user selection, and b) the previously set </w:t>
      </w:r>
      <w:r>
        <w:rPr>
          <w:rStyle w:val="CodeChar"/>
        </w:rPr>
        <w:t>currentMessageAction</w:t>
      </w:r>
      <w:r>
        <w:t>.</w:t>
      </w:r>
    </w:p>
    <w:p w:rsidR="00C9404F" w:rsidRDefault="00C9404F">
      <w:r>
        <w:t xml:space="preserve">Upon the user response, the window is closed, and the code in the </w:t>
      </w:r>
      <w:r>
        <w:rPr>
          <w:rStyle w:val="CodeChar"/>
        </w:rPr>
        <w:t>setter</w:t>
      </w:r>
      <w:r>
        <w:t xml:space="preserve"> of the view model’s bound property (e.g., </w:t>
      </w:r>
      <w:r>
        <w:rPr>
          <w:rStyle w:val="CodeChar"/>
        </w:rPr>
        <w:t>MainMessageResponse</w:t>
      </w:r>
      <w:r>
        <w:t xml:space="preserve">) determines how to proceed by examining the user’s response and the previously set </w:t>
      </w:r>
      <w:r>
        <w:rPr>
          <w:rStyle w:val="CodeChar"/>
        </w:rPr>
        <w:t>currentMessageAction</w:t>
      </w:r>
      <w:r>
        <w:t>.</w:t>
      </w:r>
    </w:p>
    <w:p w:rsidR="00C9404F" w:rsidRDefault="00C9404F">
      <w:r>
        <w:t>For example:</w:t>
      </w:r>
    </w:p>
    <w:p w:rsidR="00C9404F" w:rsidRDefault="00C9404F">
      <w:pPr>
        <w:pStyle w:val="Code"/>
      </w:pPr>
      <w:r>
        <w:t>currentMessageAction = MessageAction.DeleteTransaction;</w:t>
      </w:r>
    </w:p>
    <w:p w:rsidR="00C9404F" w:rsidRDefault="00C9404F">
      <w:pPr>
        <w:pStyle w:val="Code"/>
        <w:spacing w:after="120"/>
        <w:rPr>
          <w:rFonts w:asciiTheme="minorHAnsi" w:hAnsiTheme="minorHAnsi"/>
        </w:rPr>
      </w:pPr>
      <w:r>
        <w:t>AssociatedWindow.MessagePanel.Show("Verifying", "The transaction is marked Cleared or Resolved. Are you sure you want to delete this?");</w:t>
      </w:r>
    </w:p>
    <w:p w:rsidR="00C9404F" w:rsidRDefault="00C9404F">
      <w:r>
        <w:t>This displays a [Yes] and [No] button by default.  If the user clicks [No], the bound property is set to “Halt”; if [Yes], it is set to “Proceed”; and the message is hidden.</w:t>
      </w:r>
    </w:p>
    <w:p w:rsidR="00C9404F" w:rsidRDefault="00C9404F">
      <w:r>
        <w:t>An example view model implementation is below:</w:t>
      </w:r>
    </w:p>
    <w:p w:rsidR="00C9404F" w:rsidRDefault="00C9404F">
      <w:pPr>
        <w:pStyle w:val="Code"/>
        <w:tabs>
          <w:tab w:val="left" w:pos="2520"/>
        </w:tabs>
      </w:pPr>
      <w:r>
        <w:t>#region MessagePanel</w:t>
      </w:r>
    </w:p>
    <w:p w:rsidR="00C9404F" w:rsidRDefault="00C9404F">
      <w:pPr>
        <w:pStyle w:val="Code"/>
        <w:tabs>
          <w:tab w:val="left" w:pos="2520"/>
        </w:tabs>
      </w:pPr>
    </w:p>
    <w:p w:rsidR="00C9404F" w:rsidRDefault="00C9404F">
      <w:pPr>
        <w:pStyle w:val="Code"/>
        <w:tabs>
          <w:tab w:val="left" w:pos="2520"/>
        </w:tabs>
      </w:pPr>
      <w:r>
        <w:t>public enum MessageAction</w:t>
      </w:r>
    </w:p>
    <w:p w:rsidR="00C9404F" w:rsidRDefault="00C9404F">
      <w:pPr>
        <w:pStyle w:val="Code"/>
        <w:tabs>
          <w:tab w:val="left" w:pos="2520"/>
        </w:tabs>
      </w:pPr>
      <w:r>
        <w:t>{</w:t>
      </w:r>
    </w:p>
    <w:p w:rsidR="00C9404F" w:rsidRDefault="00C9404F">
      <w:pPr>
        <w:pStyle w:val="Code"/>
        <w:tabs>
          <w:tab w:val="left" w:pos="2520"/>
        </w:tabs>
        <w:ind w:left="1080"/>
      </w:pPr>
      <w:r>
        <w:t>Acknowledge,</w:t>
      </w:r>
    </w:p>
    <w:p w:rsidR="00C9404F" w:rsidRDefault="00C9404F">
      <w:pPr>
        <w:pStyle w:val="Code"/>
        <w:tabs>
          <w:tab w:val="left" w:pos="2520"/>
        </w:tabs>
        <w:ind w:left="1080"/>
      </w:pPr>
      <w:r>
        <w:t>DeleteAccount,</w:t>
      </w:r>
    </w:p>
    <w:p w:rsidR="00C9404F" w:rsidRDefault="00C9404F">
      <w:pPr>
        <w:pStyle w:val="Code"/>
        <w:tabs>
          <w:tab w:val="left" w:pos="2520"/>
        </w:tabs>
        <w:ind w:left="1080"/>
      </w:pPr>
      <w:r>
        <w:t>DeleteTransaction,</w:t>
      </w:r>
    </w:p>
    <w:p w:rsidR="00C9404F" w:rsidRDefault="00C9404F">
      <w:pPr>
        <w:pStyle w:val="Code"/>
        <w:tabs>
          <w:tab w:val="left" w:pos="2520"/>
        </w:tabs>
        <w:ind w:left="1080"/>
      </w:pPr>
      <w:r>
        <w:t>DeleteSubtransaction,</w:t>
      </w:r>
    </w:p>
    <w:p w:rsidR="00C9404F" w:rsidRDefault="00C9404F">
      <w:pPr>
        <w:pStyle w:val="Code"/>
        <w:tabs>
          <w:tab w:val="left" w:pos="2520"/>
        </w:tabs>
        <w:ind w:left="1080"/>
      </w:pPr>
      <w:r>
        <w:t>MergeTransactions,</w:t>
      </w:r>
    </w:p>
    <w:p w:rsidR="00C9404F" w:rsidRDefault="00C9404F">
      <w:pPr>
        <w:pStyle w:val="Code"/>
        <w:tabs>
          <w:tab w:val="left" w:pos="2520"/>
        </w:tabs>
        <w:ind w:left="1080"/>
      </w:pPr>
      <w:r>
        <w:t>ResolveTransfers</w:t>
      </w:r>
    </w:p>
    <w:p w:rsidR="00C9404F" w:rsidRDefault="00C9404F">
      <w:pPr>
        <w:pStyle w:val="Code"/>
        <w:tabs>
          <w:tab w:val="left" w:pos="2520"/>
        </w:tabs>
      </w:pPr>
      <w:r>
        <w:t>}</w:t>
      </w:r>
    </w:p>
    <w:p w:rsidR="00C9404F" w:rsidRDefault="00C9404F">
      <w:pPr>
        <w:pStyle w:val="Code"/>
        <w:tabs>
          <w:tab w:val="left" w:pos="2520"/>
        </w:tabs>
      </w:pPr>
    </w:p>
    <w:p w:rsidR="00C9404F" w:rsidRDefault="00C9404F">
      <w:pPr>
        <w:pStyle w:val="Code"/>
        <w:tabs>
          <w:tab w:val="left" w:pos="2520"/>
        </w:tabs>
      </w:pPr>
      <w:r>
        <w:t>private MessageAction currentMessageAction;</w:t>
      </w:r>
    </w:p>
    <w:p w:rsidR="00C9404F" w:rsidRDefault="00C9404F">
      <w:pPr>
        <w:pStyle w:val="Code"/>
        <w:tabs>
          <w:tab w:val="left" w:pos="2520"/>
        </w:tabs>
      </w:pPr>
    </w:p>
    <w:p w:rsidR="00C9404F" w:rsidRDefault="00C9404F">
      <w:pPr>
        <w:pStyle w:val="Code"/>
        <w:tabs>
          <w:tab w:val="left" w:pos="2520"/>
        </w:tabs>
      </w:pPr>
      <w:r>
        <w:t>private string mainMessageResponse;</w:t>
      </w:r>
    </w:p>
    <w:p w:rsidR="00C9404F" w:rsidRDefault="00C9404F">
      <w:pPr>
        <w:pStyle w:val="Code"/>
        <w:tabs>
          <w:tab w:val="left" w:pos="2520"/>
        </w:tabs>
      </w:pPr>
      <w:r>
        <w:t>public string MainMessageResponse</w:t>
      </w:r>
    </w:p>
    <w:p w:rsidR="00C9404F" w:rsidRDefault="00C9404F">
      <w:pPr>
        <w:pStyle w:val="Code"/>
        <w:tabs>
          <w:tab w:val="left" w:pos="2520"/>
        </w:tabs>
      </w:pPr>
      <w:r>
        <w:t>{</w:t>
      </w:r>
    </w:p>
    <w:p w:rsidR="00C9404F" w:rsidRDefault="00C9404F">
      <w:pPr>
        <w:pStyle w:val="Code"/>
        <w:tabs>
          <w:tab w:val="left" w:pos="2520"/>
        </w:tabs>
        <w:ind w:left="1080"/>
      </w:pPr>
      <w:r>
        <w:t>get =&gt; mainMessageResponse;</w:t>
      </w:r>
    </w:p>
    <w:p w:rsidR="00C9404F" w:rsidRDefault="00C9404F">
      <w:pPr>
        <w:pStyle w:val="Code"/>
        <w:tabs>
          <w:tab w:val="left" w:pos="2520"/>
        </w:tabs>
        <w:ind w:left="1080"/>
      </w:pPr>
      <w:r>
        <w:t>set</w:t>
      </w:r>
    </w:p>
    <w:p w:rsidR="00C9404F" w:rsidRDefault="00C9404F">
      <w:pPr>
        <w:pStyle w:val="Code"/>
        <w:tabs>
          <w:tab w:val="left" w:pos="2520"/>
        </w:tabs>
        <w:ind w:left="1080"/>
      </w:pPr>
      <w:r>
        <w:t>{</w:t>
      </w:r>
    </w:p>
    <w:p w:rsidR="00C9404F" w:rsidRDefault="00C9404F">
      <w:pPr>
        <w:pStyle w:val="Code"/>
        <w:tabs>
          <w:tab w:val="left" w:pos="2520"/>
        </w:tabs>
        <w:ind w:left="1440"/>
      </w:pPr>
      <w:r>
        <w:t>mainMessageResponse = value;</w:t>
      </w:r>
    </w:p>
    <w:p w:rsidR="00C9404F" w:rsidRDefault="00C9404F">
      <w:pPr>
        <w:pStyle w:val="Code"/>
        <w:tabs>
          <w:tab w:val="left" w:pos="2520"/>
        </w:tabs>
        <w:ind w:left="1440"/>
      </w:pPr>
      <w:r>
        <w:t>NotifyPropertyChanged();</w:t>
      </w:r>
    </w:p>
    <w:p w:rsidR="00C9404F" w:rsidRDefault="00C9404F">
      <w:pPr>
        <w:pStyle w:val="Code"/>
        <w:tabs>
          <w:tab w:val="left" w:pos="2520"/>
        </w:tabs>
        <w:ind w:left="1440"/>
      </w:pPr>
      <w:r>
        <w:t>if (mainMessageResponse == "Proceed")</w:t>
      </w:r>
    </w:p>
    <w:p w:rsidR="00C9404F" w:rsidRDefault="00C9404F">
      <w:pPr>
        <w:pStyle w:val="Code"/>
        <w:tabs>
          <w:tab w:val="left" w:pos="2520"/>
        </w:tabs>
        <w:ind w:left="1440"/>
      </w:pPr>
      <w:r>
        <w:t>{</w:t>
      </w:r>
    </w:p>
    <w:p w:rsidR="00C9404F" w:rsidRDefault="00C9404F">
      <w:pPr>
        <w:pStyle w:val="Code"/>
        <w:tabs>
          <w:tab w:val="left" w:pos="2520"/>
        </w:tabs>
        <w:ind w:left="1800"/>
      </w:pPr>
      <w:r>
        <w:t>switch (currentMessageAction)</w:t>
      </w:r>
    </w:p>
    <w:p w:rsidR="00C9404F" w:rsidRDefault="00C9404F">
      <w:pPr>
        <w:pStyle w:val="Code"/>
        <w:tabs>
          <w:tab w:val="left" w:pos="2520"/>
        </w:tabs>
        <w:ind w:left="1800"/>
      </w:pPr>
      <w:r>
        <w:t>{</w:t>
      </w:r>
    </w:p>
    <w:p w:rsidR="00C9404F" w:rsidRDefault="00C9404F">
      <w:pPr>
        <w:pStyle w:val="Code"/>
        <w:tabs>
          <w:tab w:val="left" w:pos="2520"/>
        </w:tabs>
        <w:ind w:left="2160"/>
      </w:pPr>
      <w:r>
        <w:t>case MessageAction.Acknowledge:</w:t>
      </w:r>
    </w:p>
    <w:p w:rsidR="00C9404F" w:rsidRDefault="00C9404F">
      <w:pPr>
        <w:pStyle w:val="Code"/>
        <w:tabs>
          <w:tab w:val="left" w:pos="2520"/>
        </w:tabs>
        <w:ind w:left="2160"/>
      </w:pPr>
      <w:r>
        <w:tab/>
        <w:t>break;</w:t>
      </w:r>
    </w:p>
    <w:p w:rsidR="00C9404F" w:rsidRDefault="00C9404F">
      <w:pPr>
        <w:pStyle w:val="Code"/>
        <w:tabs>
          <w:tab w:val="left" w:pos="2520"/>
        </w:tabs>
        <w:ind w:left="2160"/>
      </w:pPr>
      <w:r>
        <w:t>case MessageAction.DeleteAccount:</w:t>
      </w:r>
    </w:p>
    <w:p w:rsidR="00C9404F" w:rsidRDefault="00C9404F">
      <w:pPr>
        <w:pStyle w:val="Code"/>
        <w:tabs>
          <w:tab w:val="left" w:pos="2520"/>
        </w:tabs>
        <w:ind w:left="2160"/>
        <w:rPr>
          <w:color w:val="000000"/>
        </w:rPr>
      </w:pPr>
      <w:r>
        <w:tab/>
        <w:t>// Delete the account</w:t>
      </w:r>
    </w:p>
    <w:p w:rsidR="00C9404F" w:rsidRPr="002467D0" w:rsidRDefault="00C9404F">
      <w:pPr>
        <w:pStyle w:val="Code"/>
        <w:tabs>
          <w:tab w:val="left" w:pos="2520"/>
        </w:tabs>
        <w:ind w:left="2160"/>
      </w:pPr>
      <w:r>
        <w:tab/>
        <w:t>break;</w:t>
      </w:r>
    </w:p>
    <w:p w:rsidR="00C9404F" w:rsidRDefault="00C9404F">
      <w:pPr>
        <w:pStyle w:val="Code"/>
        <w:tabs>
          <w:tab w:val="left" w:pos="2520"/>
        </w:tabs>
        <w:ind w:left="2160"/>
      </w:pPr>
      <w:r>
        <w:t>case MessageAction.DeleteTransaction:</w:t>
      </w:r>
    </w:p>
    <w:p w:rsidR="00C9404F" w:rsidRDefault="00C9404F">
      <w:pPr>
        <w:pStyle w:val="Code"/>
        <w:tabs>
          <w:tab w:val="left" w:pos="2520"/>
        </w:tabs>
        <w:ind w:left="2160"/>
        <w:rPr>
          <w:color w:val="000000"/>
        </w:rPr>
      </w:pPr>
      <w:r>
        <w:tab/>
        <w:t>// Delete the transaction</w:t>
      </w:r>
    </w:p>
    <w:p w:rsidR="00C9404F" w:rsidRPr="002467D0" w:rsidRDefault="00C9404F">
      <w:pPr>
        <w:pStyle w:val="Code"/>
        <w:tabs>
          <w:tab w:val="left" w:pos="2520"/>
        </w:tabs>
        <w:ind w:left="2160"/>
      </w:pPr>
      <w:r>
        <w:tab/>
        <w:t>break;</w:t>
      </w:r>
    </w:p>
    <w:p w:rsidR="00C9404F" w:rsidRDefault="00C9404F">
      <w:pPr>
        <w:pStyle w:val="Code"/>
        <w:tabs>
          <w:tab w:val="left" w:pos="2520"/>
        </w:tabs>
        <w:ind w:left="2160"/>
      </w:pPr>
      <w:r>
        <w:t>case ...</w:t>
      </w:r>
    </w:p>
    <w:p w:rsidR="00C9404F" w:rsidRDefault="00C9404F">
      <w:pPr>
        <w:pStyle w:val="Code"/>
        <w:tabs>
          <w:tab w:val="left" w:pos="2520"/>
        </w:tabs>
        <w:ind w:left="2160"/>
      </w:pPr>
      <w:r>
        <w:tab/>
        <w:t>break;</w:t>
      </w:r>
    </w:p>
    <w:p w:rsidR="00C9404F" w:rsidRDefault="00C9404F">
      <w:pPr>
        <w:pStyle w:val="Code"/>
        <w:tabs>
          <w:tab w:val="left" w:pos="2520"/>
        </w:tabs>
        <w:ind w:left="2160"/>
      </w:pPr>
      <w:r>
        <w:t>default:</w:t>
      </w:r>
    </w:p>
    <w:p w:rsidR="00C9404F" w:rsidRDefault="00C9404F">
      <w:pPr>
        <w:pStyle w:val="Code"/>
        <w:tabs>
          <w:tab w:val="left" w:pos="2520"/>
        </w:tabs>
        <w:ind w:left="2160"/>
      </w:pPr>
      <w:r>
        <w:tab/>
        <w:t>break;</w:t>
      </w:r>
    </w:p>
    <w:p w:rsidR="00C9404F" w:rsidRDefault="00C9404F">
      <w:pPr>
        <w:pStyle w:val="Code"/>
        <w:tabs>
          <w:tab w:val="left" w:pos="2520"/>
        </w:tabs>
        <w:ind w:left="1800"/>
      </w:pPr>
      <w:r>
        <w:t>}</w:t>
      </w:r>
    </w:p>
    <w:p w:rsidR="00C9404F" w:rsidRDefault="00C9404F">
      <w:pPr>
        <w:pStyle w:val="Code"/>
        <w:tabs>
          <w:tab w:val="left" w:pos="2520"/>
        </w:tabs>
        <w:ind w:left="1440"/>
      </w:pPr>
      <w:r>
        <w:t>}</w:t>
      </w:r>
    </w:p>
    <w:p w:rsidR="00C9404F" w:rsidRDefault="00C9404F">
      <w:pPr>
        <w:pStyle w:val="Code"/>
        <w:tabs>
          <w:tab w:val="left" w:pos="2520"/>
        </w:tabs>
        <w:ind w:left="1080"/>
      </w:pPr>
      <w:r>
        <w:t>}</w:t>
      </w:r>
    </w:p>
    <w:p w:rsidR="00C9404F" w:rsidRDefault="00C9404F">
      <w:pPr>
        <w:pStyle w:val="Code"/>
        <w:tabs>
          <w:tab w:val="left" w:pos="2520"/>
        </w:tabs>
      </w:pPr>
      <w:r>
        <w:t>}</w:t>
      </w:r>
    </w:p>
    <w:p w:rsidR="00C9404F" w:rsidRDefault="00C9404F">
      <w:pPr>
        <w:pStyle w:val="Code"/>
        <w:tabs>
          <w:tab w:val="left" w:pos="2520"/>
        </w:tabs>
      </w:pPr>
    </w:p>
    <w:p w:rsidR="00C9404F" w:rsidRDefault="00C9404F">
      <w:pPr>
        <w:pStyle w:val="Code"/>
        <w:tabs>
          <w:tab w:val="left" w:pos="2520"/>
        </w:tabs>
      </w:pPr>
      <w:r>
        <w:t>#endregion</w:t>
      </w:r>
    </w:p>
    <w:p w:rsidR="00C9404F" w:rsidRDefault="00C9404F"/>
    <w:p w:rsidR="00C9404F" w:rsidRDefault="00C9404F"/>
    <w:sectPr w:rsidR="00C940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8CF" w:rsidRDefault="004A18CF">
      <w:r>
        <w:separator/>
      </w:r>
    </w:p>
  </w:endnote>
  <w:endnote w:type="continuationSeparator" w:id="0">
    <w:p w:rsidR="004A18CF" w:rsidRDefault="004A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8CF" w:rsidRDefault="004A18CF">
      <w:r>
        <w:separator/>
      </w:r>
    </w:p>
  </w:footnote>
  <w:footnote w:type="continuationSeparator" w:id="0">
    <w:p w:rsidR="004A18CF" w:rsidRDefault="004A1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04F" w:rsidRDefault="00C9404F">
    <w:pPr>
      <w:pStyle w:val="Title"/>
      <w:jc w:val="center"/>
    </w:pPr>
    <w:r>
      <w:t>MessagePanel</w:t>
    </w:r>
  </w:p>
  <w:p w:rsidR="00C9404F" w:rsidRDefault="00C940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A705B"/>
    <w:multiLevelType w:val="hybridMultilevel"/>
    <w:tmpl w:val="5ED4690E"/>
    <w:lvl w:ilvl="0" w:tplc="581491D0">
      <w:numFmt w:val="bullet"/>
      <w:lvlText w:val=""/>
      <w:lvlJc w:val="left"/>
      <w:pPr>
        <w:ind w:left="555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D0"/>
    <w:rsid w:val="00104808"/>
    <w:rsid w:val="002467D0"/>
    <w:rsid w:val="003F610C"/>
    <w:rsid w:val="004A18CF"/>
    <w:rsid w:val="00C9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ED545A0-CB36-432F-83AE-F8B0BF76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  <w:spacing w:after="120"/>
    </w:pPr>
    <w:rPr>
      <w:rFonts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Pr>
      <w:rFonts w:ascii="Consolas" w:hAnsi="Consolas" w:cs="Calibri"/>
      <w:color w:val="732417"/>
    </w:rPr>
  </w:style>
  <w:style w:type="paragraph" w:customStyle="1" w:styleId="Code">
    <w:name w:val="Code"/>
    <w:basedOn w:val="Normal"/>
    <w:link w:val="CodeChar"/>
    <w:qFormat/>
    <w:pPr>
      <w:tabs>
        <w:tab w:val="left" w:pos="1080"/>
        <w:tab w:val="left" w:pos="1440"/>
        <w:tab w:val="left" w:pos="1800"/>
        <w:tab w:val="left" w:pos="2160"/>
      </w:tabs>
      <w:spacing w:after="0"/>
      <w:ind w:left="720"/>
    </w:pPr>
    <w:rPr>
      <w:rFonts w:ascii="Consolas" w:hAnsi="Consolas"/>
      <w:color w:val="7324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Barnes</dc:creator>
  <cp:keywords/>
  <dc:description/>
  <cp:lastModifiedBy>Rod Barnes</cp:lastModifiedBy>
  <cp:revision>2</cp:revision>
  <dcterms:created xsi:type="dcterms:W3CDTF">2020-04-15T00:20:00Z</dcterms:created>
  <dcterms:modified xsi:type="dcterms:W3CDTF">2020-04-15T00:20:00Z</dcterms:modified>
</cp:coreProperties>
</file>