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  <w:r>
        <w:rPr>
          <w:rFonts w:ascii="Calibri" w:cs="Calibri" w:eastAsia="Calibri" w:hAnsi="Calibri"/>
          <w:b/>
          <w:bCs/>
          <w:color w:val="5B6AFF"/>
          <w:spacing w:val="200"/>
          <w:sz w:val="18"/>
          <w:szCs w:val="18"/>
        </w:rPr>
        <w:t xml:space="preserve">DTECHLAB STUDIO</w:t>
      </w:r>
    </w:p>
    <w:p>
      <w:pPr>
        <w:spacing w:before="80"/>
      </w:pPr>
      <w:r>
        <w:rPr>
          <w:rFonts w:ascii="Consolas" w:cs="Consolas" w:eastAsia="Consolas" w:hAnsi="Consolas"/>
          <w:color w:val="4A4A5C"/>
          <w:spacing w:val="100"/>
          <w:sz w:val="14"/>
          <w:szCs w:val="14"/>
        </w:rPr>
        <w:t xml:space="preserve">ESTUDIO DE MERCADO INTERNO</w:t>
      </w:r>
    </w:p>
    <w:p>
      <w:pPr>
        <w:spacing w:before="600"/>
      </w:pPr>
      <w:r>
        <w:rPr>
          <w:rFonts w:ascii="Calibri" w:cs="Calibri" w:eastAsia="Calibri" w:hAnsi="Calibri"/>
          <w:color w:val="0A0A0F"/>
          <w:sz w:val="80"/>
          <w:szCs w:val="80"/>
        </w:rPr>
        <w:t xml:space="preserve">Mercado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5B6AFF"/>
          <w:sz w:val="80"/>
          <w:szCs w:val="80"/>
        </w:rPr>
        <w:t xml:space="preserve">Panamá</w:t>
      </w:r>
    </w:p>
    <w:p>
      <w:pPr>
        <w:spacing w:before="320"/>
      </w:pPr>
      <w:r>
        <w:rPr>
          <w:rFonts w:ascii="Calibri" w:cs="Calibri" w:eastAsia="Calibri" w:hAnsi="Calibri"/>
          <w:i/>
          <w:iCs/>
          <w:color w:val="4A4A5C"/>
          <w:sz w:val="22"/>
          <w:szCs w:val="22"/>
        </w:rPr>
        <w:t xml:space="preserve">Competencia, oportunidades, ticket promedio y qué más se puede vender.</w:t>
      </w:r>
    </w:p>
    <w:p>
      <w:pPr>
        <w:spacing w:before="1800"/>
      </w:pPr>
      <w:r>
        <w:rPr>
          <w:rFonts w:ascii="Consolas" w:cs="Consolas" w:eastAsia="Consolas" w:hAnsi="Consolas"/>
          <w:color w:val="4A4A5C"/>
          <w:spacing w:val="80"/>
          <w:sz w:val="16"/>
          <w:szCs w:val="16"/>
        </w:rPr>
        <w:t xml:space="preserve">VERSIÓN 1.0  ·  USO INTERNO  ·  2026</w:t>
      </w:r>
    </w:p>
    <w:p>
      <w:r>
        <w:rPr>
          <w:rFonts w:ascii="Calibri" w:cs="Calibri" w:eastAsia="Calibri" w:hAnsi="Calibri"/>
          <w:b/>
          <w:bCs/>
          <w:color w:val="0A0A0F"/>
          <w:sz w:val="20"/>
          <w:szCs w:val="20"/>
        </w:rPr>
        <w:t xml:space="preserve">Rodolfo García  ·  Founder DTechLab Studio</w:t>
      </w:r>
    </w:p>
    <w:p>
      <w:r>
        <w:br w:type="page"/>
      </w:r>
    </w:p>
    <w:p>
      <w:pPr>
        <w:spacing w:after="32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Tabla de contenidos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01 · QUÉ HACER CON ESTE DOCUMENTO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Resumen ejecutivo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Este es un documento estratégico de uso interno. Define el terreno donde DTechLab Studio compite, los segmentos con presupuesto real, los rangos de precio del mercado panameño y las categorías de servicio que se pueden vender más allá del simple sitio web.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Conclusión inicial: el mercado panameño tiene una brecha clara entre el segmento de bajo costo (freelancers y plantillas baratas) y el segmento de agencias regionales caras (Colombia, México, España). DTechLab Studio ocupa exactamente la franja media-alta local donde hay demanda y poca oferta de calidad.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El estudio cubre cinco dimensiones: contexto económico, competencia, demanda por industria, precios reales del mercado, y oportunidades aledañas para ampliar el ticket por cliente.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02 · CONTEXTO DEL MERCADO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Panorama económico de Panamá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Panamá es uno de los mercados más dinámicos de Centroamérica. Tres factores lo hacen atractivo para servicios digitales profesionales: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Moneda dolarizada. Cobrar en USD es la norma — sin riesgo cambiario.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Sector servicios fuerte: banca, logística, comercio, seguros, salud privada y bufetes legales son industrias maduras con presupuesto digital.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Hub regional. Muchas empresas panameñas operan también en Costa Rica, Colombia, Ecuador y Centroamérica — multiplican el valor del servicio digital.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La gran mayoría de empresas en Panamá son pequeñas y medianas. Es ahí donde está el volumen de oportunidades — pero el ticket promedio sube significativamente cuando el cliente es una empresa establecida con 20+ empleados, o un profesional independiente con marca personal fuerte (médico, abogado, arquitecto, consultor).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Brechas estructurales relevantes para Studio: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Muchas empresas medianas todavía operan con sitios web hechos en WordPress básico o Wix, sin estrategia detrás. Es una oportunidad de upgrade.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La adopción de e-commerce creció fuerte después de 2020 y se mantiene. Hay pocos integradores buenos de pasarelas locales (Yappy).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La automatización con IA todavía es novedad — quien la ofrezca con seriedad gana posicionamiento rápido.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El talento técnico premium es escaso. La oferta de "estudios de ingeniería de verdad" en Panamá es limitada — la mayoría son agencias de marketing reciclando templates.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03 · CON QUIÉN COMPETIMOS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Análisis competitivo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La competencia se agrupa en cuatro categorías. Cada una atiende un perfil distinto de cliente con un rango de precio diferente.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2160"/>
        <w:gridCol w:w="1600"/>
      </w:tblGrid>
      <w:tr>
        <w:trPr>
          <w:tblHeader/>
        </w:trP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3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Quiénes son</w:t>
            </w:r>
          </w:p>
        </w:tc>
        <w:tc>
          <w:tcPr>
            <w:tcW w:type="dxa" w:w="21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Rango de precio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Calidad</w:t>
            </w:r>
          </w:p>
        </w:tc>
      </w:tr>
      <w:t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Freelancers individuales</w:t>
            </w:r>
          </w:p>
        </w:tc>
        <w:tc>
          <w:tcPr>
            <w:tcW w:type="dxa" w:w="3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Diseñadores y programadores que trabajan solos. Bajo precio, calidad muy variable, sin proceso.</w:t>
            </w:r>
          </w:p>
        </w:tc>
        <w:tc>
          <w:tcPr>
            <w:tcW w:type="dxa" w:w="21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$200 – $1,200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Baja a media</w:t>
            </w:r>
          </w:p>
        </w:tc>
      </w:tr>
      <w:t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Agencias locales de marketing</w:t>
            </w:r>
          </w:p>
        </w:tc>
        <w:tc>
          <w:tcPr>
            <w:tcW w:type="dxa" w:w="3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Agencias panameñas que hacen branding, ads y sitios web. Usan WordPress o Wix.</w:t>
            </w:r>
          </w:p>
        </w:tc>
        <w:tc>
          <w:tcPr>
            <w:tcW w:type="dxa" w:w="21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$800 – $3,500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Estudios premium locales</w:t>
            </w:r>
          </w:p>
        </w:tc>
        <w:tc>
          <w:tcPr>
            <w:tcW w:type="dxa" w:w="3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Pocos. Cobran caro y entregan calidad real. Compiten poco entre sí — el mercado los absorbe.</w:t>
            </w:r>
          </w:p>
        </w:tc>
        <w:tc>
          <w:tcPr>
            <w:tcW w:type="dxa" w:w="21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$3,000 – $12,000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Agencias regionales (CO, MX, ES)</w:t>
            </w:r>
          </w:p>
        </w:tc>
        <w:tc>
          <w:tcPr>
            <w:tcW w:type="dxa" w:w="3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Empresas grandes que se llevan clientes corporativos de Panamá. Cobran en euros o pesos, dejan poca capacidad local.</w:t>
            </w:r>
          </w:p>
        </w:tc>
        <w:tc>
          <w:tcPr>
            <w:tcW w:type="dxa" w:w="21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$8,000 – $50,000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Dónde estamos nosotros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DTechLab Studio se posiciona en la franja "estudios premium locales". Frente a las dos categorías inferiores tenemos calidad real y proceso. Frente a las agencias regionales tenemos: cercanía cultural, precio competitivo, comunicación rápida en hora local y conocimiento del contexto panameño (Yappy, ACH, regulaciones DGI).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Ventaja competitiva sostenible: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Diseño cinematográfico real con código a medida. Pocos competidores locales ofrecen esto.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Integración con IA pensada operacionalmente, no como gimmick.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Caso AutoPro como prueba tangible de capacidad para construir software complejo, no sólo "páginas".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Marca propia que comunica autoridad antes de la primera reunión.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04 · QUÉ INDUSTRIAS PAGAN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Demanda por industria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No todas las industrias panameñas tienen presupuesto o disposición para servicios digitales premium. Estas son las prioritarias según volumen, ticket promedio y facilidad de cierre.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1700"/>
        <w:gridCol w:w="2060"/>
      </w:tblGrid>
      <w:tr>
        <w:trPr>
          <w:tblHeader/>
        </w:trP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Industria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Volumen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Ticket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Facilidad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Bufetes / abogados independientes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$2.5k–$5k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Media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Clínicas y consultorios médicos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$3k–$7k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Media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E-commerce / retail online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$3k–$8k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Talleres mecánicos / servicios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Medio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$2k–$5k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ALTA (referencia AutoPro)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Restaurantes y cafés gama media-alta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$1.5k–$4k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Inmobiliarias y constructoras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Medio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$4k–$10k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Media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Consultoras / contadores / firmas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$2.5k–$5k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Media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Educación privada / academias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Medio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$3k–$7k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Baja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97706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Fitness / gimnasios / wellness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Medio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$2k–$5k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59669"/>
                <w:sz w:val="20"/>
                <w:szCs w:val="20"/>
              </w:rPr>
              <w:t xml:space="preserve">Alta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MEDIA-ALTA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Logística / transporte (B2B)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Bajo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$8k–$20k+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Baja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ALTA (ticket grande)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Banca / seguros / corporativo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Bajo</w:t>
            </w:r>
          </w:p>
        </w:tc>
        <w:tc>
          <w:tcPr>
            <w:tcW w:type="dxa" w:w="1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$15k+</w:t>
            </w:r>
          </w:p>
        </w:tc>
        <w:tc>
          <w:tcPr>
            <w:tcW w:type="dxa" w:w="17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Muy baja</w:t>
            </w:r>
          </w:p>
        </w:tc>
        <w:tc>
          <w:tcPr>
            <w:tcW w:type="dxa" w:w="20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97706"/>
                <w:sz w:val="20"/>
                <w:szCs w:val="20"/>
              </w:rPr>
              <w:t xml:space="preserve">BAJA (ciclos largos)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4A4A5C"/>
          <w:sz w:val="22"/>
          <w:szCs w:val="22"/>
        </w:rPr>
        <w:t xml:space="preserve">Lectura: priorizar al inicio industrias con ALTA o CRÍTICA prioridad. Volumen + ticket razonable + ciclos de venta cortos. Restaurantes, clínicas, bufetes y talleres son el punto dulce.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05 · BENCHMARK DE PRECIOS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Precios reales del mercado panameño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Rango aproximado de lo que cobran los distintos competidores por tipo de proyecto. Sirve para calibrar dónde se posicionan los precios de DTechLab Studio.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40"/>
        <w:gridCol w:w="1740"/>
        <w:gridCol w:w="1740"/>
        <w:gridCol w:w="1740"/>
      </w:tblGrid>
      <w:tr>
        <w:trPr>
          <w:tblHeader/>
        </w:trP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proyecto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Freelancer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Agencia local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Estudio premium (zona DTL)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Agencia regional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Landing 1 página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$200 – $500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$500 – $1,200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$800 – $1,500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$2,000 – $5,000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Sitio corporativo 5–7 pgs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$400 – $900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$1,000 – $2,500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$1,500 – $3,500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$4,000 – $9,000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E-commerce con pasarela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$600 – $1,500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$1,500 – $3,500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$3,000 – $6,500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$6,000 – $15,000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Plataforma a medida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No aplica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$3,000 – $7,000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$5,500 – $15,000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$15,000 – $50,000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CRM / Dashboard custom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No aplica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$2,500 – $6,000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$4,000 – $12,000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$12,000 – $40,000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Automatización / integraciones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$500 – $1,500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$1,200 – $3,500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$1,500 – $8,000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$8,000 – $25,000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IA aplicada a negocio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No aplica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D97706"/>
                <w:sz w:val="20"/>
                <w:szCs w:val="20"/>
              </w:rPr>
              <w:t xml:space="preserve">Casi nadie ofrece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$2,500 – $12,000</w:t>
            </w:r>
          </w:p>
        </w:tc>
        <w:tc>
          <w:tcPr>
            <w:tcW w:type="dxa" w:w="174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$10,000 – $30,000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5B6AFF"/>
          <w:sz w:val="22"/>
          <w:szCs w:val="22"/>
        </w:rPr>
        <w:t xml:space="preserve">Observación crítica: en "IA aplicada" prácticamente no hay oferta local seria. Es un océano azul. DTechLab Studio puede dominar esta categoría antes de que aparezca competencia real.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06 · QUÉ MÁS VENDER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Servicios complementarios: ingresos recurrentes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El proyecto de web inicial es la puerta de entrada. El verdadero valor del cliente a lo largo del tiempo (LTV) se construye con servicios complementarios que se cobran después del lanzamiento.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Mantenimiento mensual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El servicio más fácil de vender porque resuelve un dolor real: el cliente no quiere depender de buscar a alguien cada vez que necesita un cambio. Modalidad por horas mensuales prepagadas.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Plan Esencial: $90/mes — 4 horas, ajustes menores y monitoreo.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Plan Operacional: $180/mes — 10 horas, mantenimiento + pequeñas mejoras.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Plan Avanzado: $350/mes — 24 horas, mejoras continuas + nuevas funcionalidades pequeñas.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Meta: que el 60% de los clientes salidos de Studio contraten al menos el Plan Esencial. Eso son $54/mes por cliente, multiplica el MRR rápido.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SEO mensual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Una vez que el sitio está vivo, el cliente quiere que aparezca arriba en Google. El SEO es un servicio que se vende por meses, no por proyecto.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Setup inicial de SEO técnico: $400 – $800 (one-time).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SEO mensual continuo: $200 – $500/mes (depende de número de palabras clave y competencia).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Gestión de campañas (Ads)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Configurar y administrar Meta Ads (Facebook + Instagram) y Google Ads para el cliente. El cliente paga su propio presupuesto publicitario; DTechLab cobra fee por gestión.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Fee de gestión: $300/mes fijo, o 15% del gasto publicitario (lo que sea mayor).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Setup inicial de cuentas + pixel + audiencias: $400 – $700 one-time.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Hosting y dominio gestionado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Muchos clientes pequeños no quieren lidiar con hosting. DTechLab puede ofrecer el servicio empaquetado con margen.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Hosting mensual gestionado: $25 – $60/mes (costo real $5–$15, margen 50–75%).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Renovación de dominio anual: cargo de $30 ($15 costo).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Producción de contenido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El cliente típico tiene sitio bonito pero no produce contenido. Esto es un nicho donde se puede generar revenue continuo.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Pack 4 piezas mensuales para redes (diseño + texto): $250/mes.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Coordinación de sesión fotográfica: $300 – $600 + costo del fotógrafo (con margen 20%).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Redacción de blog mensual (2 posts): $200/mes.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Capacitación a equipos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Capacitar al equipo del cliente en uso del sistema, IA, automatización y herramientas. Servicio puntual con buena rentabilidad por hora.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Sesión de 3 horas (remota o presencial): $400.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Workshop full-day (6 horas) en sitio del cliente: $900 + viáticos.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Auditoría de sistemas (puerta de entrada)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Servicio de bajo precio que sirve para entrar a clientes que aún no están listos para un proyecto grande. Genera reporte profesional y posiciona a Studio como consultor.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Auditoría web + recomendaciones: $200 (deducible si contratan proyecto).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Auditoría completa de sistemas operacionales: $500 – $1,200.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07 · QUÉ PUEDE GENERAR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Proyección de ingresos por mix de servicios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Combinando el mix correcto de proyectos nuevos + servicios recurrentes, la facturación mensual escala rápido. Tres escenarios proyectados a 6 meses, basados en un esfuerzo de venta razonable.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186"/>
        <w:gridCol w:w="2187"/>
        <w:gridCol w:w="2187"/>
      </w:tblGrid>
      <w:tr>
        <w:trPr>
          <w:tblHeader/>
        </w:trPr>
        <w:tc>
          <w:tcPr>
            <w:tcW w:type="dxa" w:w="28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2186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Conservador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Realista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Agresivo</w:t>
            </w:r>
          </w:p>
        </w:tc>
      </w:tr>
      <w:tr>
        <w:tc>
          <w:tcPr>
            <w:tcW w:type="dxa" w:w="28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Proyectos nuevos / mes</w:t>
            </w:r>
          </w:p>
        </w:tc>
        <w:tc>
          <w:tcPr>
            <w:tcW w:type="dxa" w:w="2186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1 proyecto · $3k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2 proyectos · $4k c/u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3 proyectos · $5k c/u</w:t>
            </w:r>
          </w:p>
        </w:tc>
      </w:tr>
      <w:tr>
        <w:tc>
          <w:tcPr>
            <w:tcW w:type="dxa" w:w="28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Ingreso de proyectos</w:t>
            </w:r>
          </w:p>
        </w:tc>
        <w:tc>
          <w:tcPr>
            <w:tcW w:type="dxa" w:w="2186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$3,000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$8,000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$15,000</w:t>
            </w:r>
          </w:p>
        </w:tc>
      </w:tr>
      <w:tr>
        <w:tc>
          <w:tcPr>
            <w:tcW w:type="dxa" w:w="28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Clientes en mantenimiento (acumulado mes 6)</w:t>
            </w:r>
          </w:p>
        </w:tc>
        <w:tc>
          <w:tcPr>
            <w:tcW w:type="dxa" w:w="2186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3 × $90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6 × $150 promedio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10 × $200 promedio</w:t>
            </w:r>
          </w:p>
        </w:tc>
      </w:tr>
      <w:tr>
        <w:tc>
          <w:tcPr>
            <w:tcW w:type="dxa" w:w="28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Ingreso de mantenimiento</w:t>
            </w:r>
          </w:p>
        </w:tc>
        <w:tc>
          <w:tcPr>
            <w:tcW w:type="dxa" w:w="2186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$270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$900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28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Clientes en SEO/Ads</w:t>
            </w:r>
          </w:p>
        </w:tc>
        <w:tc>
          <w:tcPr>
            <w:tcW w:type="dxa" w:w="2186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1 × $200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3 × $300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5 × $400</w:t>
            </w:r>
          </w:p>
        </w:tc>
      </w:tr>
      <w:tr>
        <w:tc>
          <w:tcPr>
            <w:tcW w:type="dxa" w:w="28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Ingreso recurrente extra</w:t>
            </w:r>
          </w:p>
        </w:tc>
        <w:tc>
          <w:tcPr>
            <w:tcW w:type="dxa" w:w="2186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$200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$900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28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TOTAL MES 6</w:t>
            </w:r>
          </w:p>
        </w:tc>
        <w:tc>
          <w:tcPr>
            <w:tcW w:type="dxa" w:w="2186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$3,470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$9,800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$19,000</w:t>
            </w:r>
          </w:p>
        </w:tc>
      </w:tr>
      <w:tr>
        <w:tc>
          <w:tcPr>
            <w:tcW w:type="dxa" w:w="28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0A0F"/>
                <w:sz w:val="20"/>
                <w:szCs w:val="20"/>
              </w:rPr>
              <w:t xml:space="preserve">TOTAL AÑO 1 ESTIMADO</w:t>
            </w:r>
          </w:p>
        </w:tc>
        <w:tc>
          <w:tcPr>
            <w:tcW w:type="dxa" w:w="2186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~$30,000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~$85,000</w:t>
            </w:r>
          </w:p>
        </w:tc>
        <w:tc>
          <w:tcPr>
            <w:tcW w:type="dxa" w:w="2187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~$170,000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Notas: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Escenario realista asume 2 proyectos cerrados al mes — totalmente alcanzable con tráfico de Instagram + WhatsApp + referidos.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La diferencia entre conservador y agresivo no es talento: es esfuerzo de venta y consistencia de marketing.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Los servicios recurrentes (mantenimiento, SEO, ads) se acumulan mes a mes. Para el mes 12, el MRR pasivo puede igualar el ingreso de proyectos nuevos.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Las cifras no incluyen Custom Enterprise ni proyectos sobre $10,000, que pueden aparecer 1–2 veces al año y subir significativamente el total.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08 · CÓMO LLEGAR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Estrategia de adquisición de clientes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Los primeros clientes no vienen de Google. Vienen de la red directa y de movimientos de marketing focalizados. Estos son los canales por orden de prioridad: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Mes 1 — Activación de red personal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Lista de 30 contactos personales con negocio activo. Mensaje directo por WhatsApp anunciando Studio + oferta de auditoría gratis.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Anuncio formal en LinkedIn personal. Carrusel con los 5 servicios + cotizador.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Compartir en grupos de WhatsApp profesionales relevantes.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Mes 2–3 — Construcción de presencia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Instagram con cadencia de 4 posts/semana + 2 reels. Pilares: sistemas en movimiento, interfaces, manifesto, build 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Primer cliente publicado como caso de estudio (AutoPro + el segundo).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Outbound a 20 prospectos al mes vía email + LinkedIn DM.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Mes 4+ — Apalancamiento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SEO local: 'diseño web Panamá', 'desarrollo web Panamá', 'CRM a medida Panamá'. Producir contenido orientado a esas keywords.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Programa de referidos: 10% del ticket al cliente que refiera, pagado al cierre.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Partnerships con: agencias de marketing (ellos hacen estrategia, nosotros web), fotógrafos comerciales (paquete combinado), contadores y abogados (referidos cruzados).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Anuncios pagados en Meta + Google: $300–$500/mes mínimo. ROI esperado: 3–5x al estabilizar.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09 · QUÉ PUEDE FALLAR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Riesgos de mercado y mitigación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Riesgo: ciclos de venta más largos de lo esperado en Tier 1 (corporativos). Mitigación: enfocar primer trimestre en clientes Tier 2 y Tier 3 con ciclos de 2–4 semanas.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Riesgo: competidor local replica posicionamiento. Mitigación: velocidad de marca — Instagram constante, contenido educativo, casos de estudio publicados rápido.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Riesgo: cliente pide descuento de 40%+. Mitigación: tener paquetes claros con precios visibles internamente. Si no encaja, decir que no. Mejor un cliente menos que un cliente mal.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Riesgo: cancelación de proyecto a mitad. Mitigación: 50% inicial no negociable + cláusula contractual de pago proporcional.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Riesgo: dependencia de un único cliente grande. Mitigación: ningún cliente debe ser más del 30% del revenue. Diversificar siempre.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10 · PRÓXIMOS PASOS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Acciones inmediatas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Para convertir este estudio en facturación, las acciones de las próximas 4 semanas son: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Cerrar el AVISO DE OPERACIONES por internet en Panamá para poder facturar formalmente. Sin esto, no se puede contratar formal.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Publicar el dominio dtechlab.io (o equivalente) con la web Studio en producción.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Lanzar Instagram con los primeros 9 posts del pack de marca.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Hacer la lista de 30 contactos personales y mandarles el mensaje de anuncio individualmente.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Cerrar primer cliente. Documentarlo como caso de estudio rápido.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A partir del cliente 3: ofrecer plan de mantenimiento mensual. Empezar a construir MRR.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spacing w:after="140"/>
        <w:jc w:val="center"/>
      </w:pPr>
      <w:r>
        <w:rPr>
          <w:rFonts w:ascii="Calibri" w:cs="Calibri" w:eastAsia="Calibri" w:hAnsi="Calibri"/>
          <w:i/>
          <w:iCs/>
          <w:color w:val="4A4A5C"/>
          <w:sz w:val="22"/>
          <w:szCs w:val="22"/>
        </w:rPr>
        <w:t xml:space="preserve">La estrategia funciona si la velocidad es constante. El mercado no recompensa la perfección — recompensa la consistencia en publicar, conversar y entregar.</w:t>
      </w:r>
    </w:p>
    <w:p>
      <w:pPr>
        <w:spacing w:after="14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spacing w:after="140"/>
        <w:jc w:val="center"/>
      </w:pPr>
      <w:r>
        <w:rPr>
          <w:rFonts w:ascii="Calibri" w:cs="Calibri" w:eastAsia="Calibri" w:hAnsi="Calibri"/>
          <w:i/>
          <w:iCs/>
          <w:color w:val="4A4A5C"/>
          <w:sz w:val="22"/>
          <w:szCs w:val="22"/>
        </w:rPr>
        <w:t xml:space="preserve">— Fin del estudio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onsolas" w:cs="Consolas" w:eastAsia="Consolas" w:hAnsi="Consolas"/>
        <w:color w:val="4A4A5C"/>
        <w:sz w:val="16"/>
        <w:szCs w:val="16"/>
      </w:rPr>
      <w:t xml:space="preserve">Página </w:t>
    </w:r>
    <w:r>
      <w:rPr>
        <w:rFonts w:ascii="Consolas" w:cs="Consolas" w:eastAsia="Consolas" w:hAnsi="Consolas"/>
        <w:color w:val="4A4A5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onsolas" w:cs="Consolas" w:eastAsia="Consolas" w:hAnsi="Consolas"/>
        <w:color w:val="4A4A5C"/>
        <w:sz w:val="16"/>
        <w:szCs w:val="16"/>
      </w:rPr>
      <w:t xml:space="preserve">  ·  Uso interno  ·  © 2026 DTechLab Studio · Panamá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onsolas" w:cs="Consolas" w:eastAsia="Consolas" w:hAnsi="Consolas"/>
        <w:color w:val="4A4A5C"/>
        <w:sz w:val="16"/>
        <w:szCs w:val="16"/>
      </w:rPr>
      <w:t xml:space="preserve">DTechLab Studio · Estudio de Mercado Panamá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0A0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Calibri" w:cs="Calibri" w:eastAsia="Calibri" w:hAnsi="Calibri"/>
      <w:b/>
      <w:bCs/>
      <w:color w:val="5B6AF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DTechLab Studio — Estudio de Mercado Panamá</dc:title>
  <dc:creator>DTechLab Studio</dc:creator>
  <dc:description>Documento interno de análisis de mercado y proyección comercial.</dc:description>
  <cp:lastModifiedBy>Un-named</cp:lastModifiedBy>
  <cp:revision>1</cp:revision>
  <dcterms:created xsi:type="dcterms:W3CDTF">2026-06-09T04:13:57.543Z</dcterms:created>
  <dcterms:modified xsi:type="dcterms:W3CDTF">2026-06-09T04:13:57.546Z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