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7F54" w14:textId="77777777" w:rsidR="00712EFD" w:rsidRDefault="00000000">
      <w:pPr>
        <w:pStyle w:val="Title"/>
      </w:pPr>
      <w:r>
        <w:rPr>
          <w:color w:val="1E3A5F"/>
        </w:rPr>
        <w:t>Sports Broadcasting Calendar</w:t>
      </w:r>
    </w:p>
    <w:p w14:paraId="640875E8" w14:textId="77777777" w:rsidR="00712EFD" w:rsidRDefault="00000000">
      <w:pPr>
        <w:spacing w:after="80"/>
      </w:pPr>
      <w:r>
        <w:rPr>
          <w:color w:val="5B6B7D"/>
          <w:sz w:val="28"/>
        </w:rPr>
        <w:t>Database Capacity Estimate — Scaled Deployment (10× events, 5× staff; 10 heavy + 20 light users)</w:t>
      </w:r>
    </w:p>
    <w:p w14:paraId="33A02E8F" w14:textId="77777777" w:rsidR="00712EFD" w:rsidRDefault="00000000">
      <w:pPr>
        <w:spacing w:after="400"/>
      </w:pPr>
      <w:r>
        <w:rPr>
          <w:color w:val="5B6B7D"/>
          <w:sz w:val="19"/>
        </w:rPr>
        <w:t>Prepared 26 August 2026 · Source app: Sports Broadcasting Calendar v3.10 · Proposed engine: PostgreSQL · Candidate: Aiven PostgreSQL, 2GB storage / 1 CPU</w:t>
      </w:r>
    </w:p>
    <w:p w14:paraId="2708E0E8" w14:textId="77777777" w:rsidR="00712EFD" w:rsidRDefault="00000000">
      <w:pPr>
        <w:pStyle w:val="Heading1"/>
      </w:pPr>
      <w:r>
        <w:rPr>
          <w:color w:val="1E3A5F"/>
        </w:rPr>
        <w:t>Headline answer</w:t>
      </w:r>
    </w:p>
    <w:p w14:paraId="1AA8E240" w14:textId="564BA5B8" w:rsidR="00712EFD" w:rsidRDefault="00D94B40">
      <w:pPr>
        <w:spacing w:after="160"/>
      </w:pPr>
      <w:r>
        <w:t>A</w:t>
      </w:r>
      <w:r w:rsidR="00000000">
        <w:t xml:space="preserve"> 2GB / 1 CPU Aiven PostgreSQL instance is a comfortable fit for this workload. Storage has roughly 5–10× headroom over the estimated data footprint, and 1 CPU is well ahead of what 30 total users (10 heavy, 20 lightweight) generate against a dataset this small. </w:t>
      </w:r>
    </w:p>
    <w:p w14:paraId="5BFC6D0B" w14:textId="77777777" w:rsidR="00712EFD" w:rsidRDefault="00000000">
      <w:pPr>
        <w:pStyle w:val="Heading1"/>
      </w:pPr>
      <w:r>
        <w:rPr>
          <w:color w:val="1E3A5F"/>
        </w:rPr>
        <w:t>Usage scenario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2EFD" w14:paraId="7C3149BD" w14:textId="77777777" w:rsidTr="0071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F016E2" w14:textId="77777777" w:rsidR="00712EFD" w:rsidRDefault="00000000">
            <w:r>
              <w:t>User type</w:t>
            </w:r>
          </w:p>
        </w:tc>
        <w:tc>
          <w:tcPr>
            <w:tcW w:w="4320" w:type="dxa"/>
          </w:tcPr>
          <w:p w14:paraId="7EAADEC6" w14:textId="77777777" w:rsidR="00712E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712EFD" w14:paraId="123A9952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6C296" w14:textId="77777777" w:rsidR="00712EFD" w:rsidRDefault="00000000">
            <w:r>
              <w:t>Heavy users (frequent edits — Editorial decisions, Operations/Booths allocation, Production assignments, Staff booking)</w:t>
            </w:r>
          </w:p>
        </w:tc>
        <w:tc>
          <w:tcPr>
            <w:tcW w:w="4320" w:type="dxa"/>
          </w:tcPr>
          <w:p w14:paraId="74C3AFC2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12EFD" w14:paraId="75898A78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88B5E" w14:textId="77777777" w:rsidR="00712EFD" w:rsidRDefault="00000000">
            <w:r>
              <w:t>Lightweight users (mostly read — Calendar, Resource Gaps, browsing)</w:t>
            </w:r>
          </w:p>
        </w:tc>
        <w:tc>
          <w:tcPr>
            <w:tcW w:w="4320" w:type="dxa"/>
          </w:tcPr>
          <w:p w14:paraId="61A79845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712EFD" w14:paraId="189BA2B7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22404" w14:textId="77777777" w:rsidR="00712EFD" w:rsidRDefault="00000000">
            <w:r>
              <w:t>Total concurrent-ish users</w:t>
            </w:r>
          </w:p>
        </w:tc>
        <w:tc>
          <w:tcPr>
            <w:tcW w:w="4320" w:type="dxa"/>
          </w:tcPr>
          <w:p w14:paraId="597C8232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</w:tbl>
    <w:p w14:paraId="25BE0533" w14:textId="77777777" w:rsidR="00712EFD" w:rsidRDefault="00712EFD">
      <w:pPr>
        <w:spacing w:after="240"/>
      </w:pPr>
    </w:p>
    <w:p w14:paraId="05DA2A48" w14:textId="77777777" w:rsidR="00712EFD" w:rsidRDefault="00000000">
      <w:pPr>
        <w:pStyle w:val="Heading1"/>
      </w:pPr>
      <w:r>
        <w:rPr>
          <w:color w:val="1E3A5F"/>
        </w:rPr>
        <w:t>Current baseline (real data, not estimated)</w:t>
      </w:r>
    </w:p>
    <w:p w14:paraId="1D94BAD7" w14:textId="77777777" w:rsidR="00712EFD" w:rsidRDefault="00000000">
      <w:pPr>
        <w:spacing w:after="160"/>
      </w:pPr>
      <w:r>
        <w:t>Pulled directly from the app’s bundled fixture and seed data, not guessed: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2EFD" w14:paraId="573D7CDC" w14:textId="77777777" w:rsidTr="0071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083CC" w14:textId="77777777" w:rsidR="00712EFD" w:rsidRDefault="00000000">
            <w:r>
              <w:t>Metric</w:t>
            </w:r>
          </w:p>
        </w:tc>
        <w:tc>
          <w:tcPr>
            <w:tcW w:w="4320" w:type="dxa"/>
          </w:tcPr>
          <w:p w14:paraId="735D2410" w14:textId="77777777" w:rsidR="00712E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value</w:t>
            </w:r>
          </w:p>
        </w:tc>
      </w:tr>
      <w:tr w:rsidR="00712EFD" w14:paraId="3E9A0F46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EBF848" w14:textId="77777777" w:rsidR="00712EFD" w:rsidRDefault="00000000">
            <w:r>
              <w:t>Events</w:t>
            </w:r>
          </w:p>
        </w:tc>
        <w:tc>
          <w:tcPr>
            <w:tcW w:w="4320" w:type="dxa"/>
          </w:tcPr>
          <w:p w14:paraId="33A0E5BB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4,546 (~2 seasons across 14 competitions)</w:t>
            </w:r>
          </w:p>
        </w:tc>
      </w:tr>
      <w:tr w:rsidR="00712EFD" w14:paraId="4585FB69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8D030" w14:textId="77777777" w:rsidR="00712EFD" w:rsidRDefault="00000000">
            <w:r>
              <w:t>Staff</w:t>
            </w:r>
          </w:p>
        </w:tc>
        <w:tc>
          <w:tcPr>
            <w:tcW w:w="4320" w:type="dxa"/>
          </w:tcPr>
          <w:p w14:paraId="7F67A085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</w:t>
            </w:r>
          </w:p>
        </w:tc>
      </w:tr>
      <w:tr w:rsidR="00712EFD" w14:paraId="57BE887E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AD6F7" w14:textId="77777777" w:rsidR="00712EFD" w:rsidRDefault="00000000">
            <w:r>
              <w:t>Asset bookings</w:t>
            </w:r>
          </w:p>
        </w:tc>
        <w:tc>
          <w:tcPr>
            <w:tcW w:w="4320" w:type="dxa"/>
          </w:tcPr>
          <w:p w14:paraId="7AE5AA2D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</w:t>
            </w:r>
          </w:p>
        </w:tc>
      </w:tr>
      <w:tr w:rsidR="00712EFD" w14:paraId="3D6A85BD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72543" w14:textId="77777777" w:rsidR="00712EFD" w:rsidRDefault="00000000">
            <w:r>
              <w:t>Bookable asset types</w:t>
            </w:r>
          </w:p>
        </w:tc>
        <w:tc>
          <w:tcPr>
            <w:tcW w:w="4320" w:type="dxa"/>
          </w:tcPr>
          <w:p w14:paraId="32AD4CDD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712EFD" w14:paraId="6A1EF94B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997A21" w14:textId="77777777" w:rsidR="00712EFD" w:rsidRDefault="00000000">
            <w:r>
              <w:t>Platforms</w:t>
            </w:r>
          </w:p>
        </w:tc>
        <w:tc>
          <w:tcPr>
            <w:tcW w:w="4320" w:type="dxa"/>
          </w:tcPr>
          <w:p w14:paraId="2CEF0EFE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712EFD" w14:paraId="68A561B6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E95FA" w14:textId="77777777" w:rsidR="00712EFD" w:rsidRDefault="00000000">
            <w:r>
              <w:t>Patterns</w:t>
            </w:r>
          </w:p>
        </w:tc>
        <w:tc>
          <w:tcPr>
            <w:tcW w:w="4320" w:type="dxa"/>
          </w:tcPr>
          <w:p w14:paraId="7EDC6897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</w:tbl>
    <w:p w14:paraId="2BA282DF" w14:textId="77777777" w:rsidR="00712EFD" w:rsidRDefault="00712EFD">
      <w:pPr>
        <w:spacing w:after="240"/>
      </w:pPr>
    </w:p>
    <w:p w14:paraId="1483733D" w14:textId="77777777" w:rsidR="00712EFD" w:rsidRDefault="00000000">
      <w:pPr>
        <w:pStyle w:val="Heading1"/>
      </w:pPr>
      <w:r>
        <w:rPr>
          <w:color w:val="1E3A5F"/>
        </w:rPr>
        <w:t>Scaled data estimate (10× events, 5× staff)</w:t>
      </w:r>
    </w:p>
    <w:p w14:paraId="11E8B6EA" w14:textId="77777777" w:rsidR="00712EFD" w:rsidRDefault="00000000">
      <w:pPr>
        <w:spacing w:after="160"/>
      </w:pPr>
      <w:r>
        <w:t xml:space="preserve">Dependent tables are propagated using deliberately pessimistic ratios — e.g. every event getting editorial decisions across all 6 platforms, and all 8 staff roles booked on every event — </w:t>
      </w:r>
      <w:r>
        <w:lastRenderedPageBreak/>
        <w:t>so this overstates, not understates, the real footprint. This part of the estimate is unaffected by the user-count question below; it’s driven by data volume, not concurrency.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2EFD" w14:paraId="2881FA54" w14:textId="77777777" w:rsidTr="0071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DFAFD" w14:textId="77777777" w:rsidR="00712EFD" w:rsidRDefault="00000000">
            <w:r>
              <w:t>Table</w:t>
            </w:r>
          </w:p>
        </w:tc>
        <w:tc>
          <w:tcPr>
            <w:tcW w:w="2880" w:type="dxa"/>
          </w:tcPr>
          <w:p w14:paraId="3E52766E" w14:textId="77777777" w:rsidR="00712E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Rows at scale</w:t>
            </w:r>
          </w:p>
        </w:tc>
        <w:tc>
          <w:tcPr>
            <w:tcW w:w="2880" w:type="dxa"/>
          </w:tcPr>
          <w:p w14:paraId="7C962E7A" w14:textId="77777777" w:rsidR="00712E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size</w:t>
            </w:r>
          </w:p>
        </w:tc>
      </w:tr>
      <w:tr w:rsidR="00712EFD" w14:paraId="33BA37A3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D33AC" w14:textId="77777777" w:rsidR="00712EFD" w:rsidRDefault="00000000">
            <w:r>
              <w:t>events</w:t>
            </w:r>
          </w:p>
        </w:tc>
        <w:tc>
          <w:tcPr>
            <w:tcW w:w="2880" w:type="dxa"/>
          </w:tcPr>
          <w:p w14:paraId="01640815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~45,000</w:t>
            </w:r>
          </w:p>
        </w:tc>
        <w:tc>
          <w:tcPr>
            <w:tcW w:w="2880" w:type="dxa"/>
          </w:tcPr>
          <w:p w14:paraId="7596C2C0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~11 MB</w:t>
            </w:r>
          </w:p>
        </w:tc>
      </w:tr>
      <w:tr w:rsidR="00712EFD" w14:paraId="3FC88E2B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F53F36" w14:textId="77777777" w:rsidR="00712EFD" w:rsidRDefault="00000000">
            <w:r>
              <w:t>editorial_decisions</w:t>
            </w:r>
          </w:p>
        </w:tc>
        <w:tc>
          <w:tcPr>
            <w:tcW w:w="2880" w:type="dxa"/>
          </w:tcPr>
          <w:p w14:paraId="2086A9AD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~270,000 (events × 6 platforms, worst case)</w:t>
            </w:r>
          </w:p>
        </w:tc>
        <w:tc>
          <w:tcPr>
            <w:tcW w:w="2880" w:type="dxa"/>
          </w:tcPr>
          <w:p w14:paraId="69280805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~19 MB</w:t>
            </w:r>
          </w:p>
        </w:tc>
      </w:tr>
      <w:tr w:rsidR="00712EFD" w14:paraId="7B1D3F79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2E61C" w14:textId="77777777" w:rsidR="00712EFD" w:rsidRDefault="00000000">
            <w:r>
              <w:t>production_assignments</w:t>
            </w:r>
          </w:p>
        </w:tc>
        <w:tc>
          <w:tcPr>
            <w:tcW w:w="2880" w:type="dxa"/>
          </w:tcPr>
          <w:p w14:paraId="66427585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~45,000</w:t>
            </w:r>
          </w:p>
        </w:tc>
        <w:tc>
          <w:tcPr>
            <w:tcW w:w="2880" w:type="dxa"/>
          </w:tcPr>
          <w:p w14:paraId="1EA355BF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MB</w:t>
            </w:r>
          </w:p>
        </w:tc>
      </w:tr>
      <w:tr w:rsidR="00712EFD" w14:paraId="76D26135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902EA" w14:textId="77777777" w:rsidR="00712EFD" w:rsidRDefault="00000000">
            <w:r>
              <w:t>staff_bookings</w:t>
            </w:r>
          </w:p>
        </w:tc>
        <w:tc>
          <w:tcPr>
            <w:tcW w:w="2880" w:type="dxa"/>
          </w:tcPr>
          <w:p w14:paraId="56918B85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~360,000 (events × 8 roles, worst case)</w:t>
            </w:r>
          </w:p>
        </w:tc>
        <w:tc>
          <w:tcPr>
            <w:tcW w:w="2880" w:type="dxa"/>
          </w:tcPr>
          <w:p w14:paraId="28A25638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~22 MB</w:t>
            </w:r>
          </w:p>
        </w:tc>
      </w:tr>
      <w:tr w:rsidR="00712EFD" w14:paraId="61E370E1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8174D" w14:textId="77777777" w:rsidR="00712EFD" w:rsidRDefault="00000000">
            <w:r>
              <w:t>staff_locks</w:t>
            </w:r>
          </w:p>
        </w:tc>
        <w:tc>
          <w:tcPr>
            <w:tcW w:w="2880" w:type="dxa"/>
          </w:tcPr>
          <w:p w14:paraId="05D2D84B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~360,000</w:t>
            </w:r>
          </w:p>
        </w:tc>
        <w:tc>
          <w:tcPr>
            <w:tcW w:w="2880" w:type="dxa"/>
          </w:tcPr>
          <w:p w14:paraId="04C05758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~20 MB</w:t>
            </w:r>
          </w:p>
        </w:tc>
      </w:tr>
      <w:tr w:rsidR="00712EFD" w14:paraId="1A7621FC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E647E" w14:textId="77777777" w:rsidR="00712EFD" w:rsidRDefault="00000000">
            <w:r>
              <w:t>staff + staff_capabilities</w:t>
            </w:r>
          </w:p>
        </w:tc>
        <w:tc>
          <w:tcPr>
            <w:tcW w:w="2880" w:type="dxa"/>
          </w:tcPr>
          <w:p w14:paraId="3F12202C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505 + ~3,000</w:t>
            </w:r>
          </w:p>
        </w:tc>
        <w:tc>
          <w:tcPr>
            <w:tcW w:w="2880" w:type="dxa"/>
          </w:tcPr>
          <w:p w14:paraId="35690F20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&lt;1 MB</w:t>
            </w:r>
          </w:p>
        </w:tc>
      </w:tr>
      <w:tr w:rsidR="00712EFD" w14:paraId="7AC100B6" w14:textId="77777777" w:rsidTr="0071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26E7A" w14:textId="77777777" w:rsidR="00712EFD" w:rsidRDefault="00000000">
            <w:r>
              <w:t>asset_bookings</w:t>
            </w:r>
          </w:p>
        </w:tc>
        <w:tc>
          <w:tcPr>
            <w:tcW w:w="2880" w:type="dxa"/>
          </w:tcPr>
          <w:p w14:paraId="1555256D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~2,400</w:t>
            </w:r>
          </w:p>
        </w:tc>
        <w:tc>
          <w:tcPr>
            <w:tcW w:w="2880" w:type="dxa"/>
          </w:tcPr>
          <w:p w14:paraId="7E8977AC" w14:textId="77777777" w:rsidR="00712E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 MB</w:t>
            </w:r>
          </w:p>
        </w:tc>
      </w:tr>
      <w:tr w:rsidR="00712EFD" w14:paraId="2C4899E3" w14:textId="77777777" w:rsidTr="00712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53070" w14:textId="77777777" w:rsidR="00712EFD" w:rsidRDefault="00000000">
            <w:r>
              <w:t>everything else (competitions, platforms, patterns, roles, tech_stack)</w:t>
            </w:r>
          </w:p>
        </w:tc>
        <w:tc>
          <w:tcPr>
            <w:tcW w:w="2880" w:type="dxa"/>
          </w:tcPr>
          <w:p w14:paraId="4E602F4C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few hundred rows total</w:t>
            </w:r>
          </w:p>
        </w:tc>
        <w:tc>
          <w:tcPr>
            <w:tcW w:w="2880" w:type="dxa"/>
          </w:tcPr>
          <w:p w14:paraId="5B03650D" w14:textId="77777777" w:rsidR="00712E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negligible</w:t>
            </w:r>
          </w:p>
        </w:tc>
      </w:tr>
    </w:tbl>
    <w:p w14:paraId="78445E19" w14:textId="77777777" w:rsidR="00712EFD" w:rsidRDefault="00712EFD">
      <w:pPr>
        <w:spacing w:after="80"/>
      </w:pPr>
    </w:p>
    <w:p w14:paraId="71DACD9B" w14:textId="77777777" w:rsidR="00712EFD" w:rsidRDefault="00000000">
      <w:pPr>
        <w:spacing w:after="160"/>
      </w:pPr>
      <w:r>
        <w:t>Total: roughly 1.1 million rows and ~80MB of raw data even under these pessimistic assumptions. Adding indexes (typically 1–2× the data) and autovacuum bloat brings that to a realistic working range of roughly 200–400MB.</w:t>
      </w:r>
    </w:p>
    <w:p w14:paraId="720E9C21" w14:textId="77777777" w:rsidR="00712EFD" w:rsidRDefault="00000000">
      <w:pPr>
        <w:pStyle w:val="Heading1"/>
      </w:pPr>
      <w:r>
        <w:rPr>
          <w:color w:val="1E3A5F"/>
        </w:rPr>
        <w:t>Storage: 2GB</w:t>
      </w:r>
    </w:p>
    <w:p w14:paraId="3588A2B0" w14:textId="77777777" w:rsidR="00712EFD" w:rsidRDefault="00000000">
      <w:pPr>
        <w:spacing w:after="160"/>
      </w:pPr>
      <w:r>
        <w:t>Against an estimated 200–400MB working data size, 2GB leaves roughly 5–10× headroom — enough for WAL, temp files during heavier queries, autovacuum bloat spikes, and ordinary growth beyond this scaling scenario, without needing to resize for a good while. This is a realistic, well-matched allocation rather than the earlier 1TB, which was 500–1000× more than the data needed. One caveat: Aiven’s named plan tiers bundle storage with CPU/RAM rather than letting you pick capacity independently, and their smallest tiers are usually sized in a similar single-digit-GB range — worth checking the current tier list to confirm 2GB (or the nearest tier above it) is actually offered at 1 CPU, since exact plan specs and pricing change over time.</w:t>
      </w:r>
    </w:p>
    <w:p w14:paraId="55D607C9" w14:textId="77777777" w:rsidR="00712EFD" w:rsidRDefault="00000000">
      <w:pPr>
        <w:pStyle w:val="Heading1"/>
      </w:pPr>
      <w:r>
        <w:rPr>
          <w:color w:val="1E3A5F"/>
        </w:rPr>
        <w:t>Compute: 1 CPU at 30 users</w:t>
      </w:r>
    </w:p>
    <w:p w14:paraId="0EF59FA9" w14:textId="77777777" w:rsidR="00712EFD" w:rsidRDefault="00000000">
      <w:pPr>
        <w:spacing w:after="160"/>
      </w:pPr>
      <w:r>
        <w:t>With the whole dataset comfortably fitting in RAM on any tier, this workload stays CPU-bound on simple, well-indexed operations, not I/O-bound. 30 total users — 10 issuing frequent single-row writes (decision toggles, booking status changes, staff assignments), 20 mostly reading calendar/list views — is a light load for Postgres: a single vCPU routinely handles far higher concurrency than this for equivalent query shapes over a dataset this size. There’s no indication here of the kind of load (heavy concurrent analytics, large batch jobs, thousands of simultaneous connections) that would actually saturate one core.</w:t>
      </w:r>
    </w:p>
    <w:p w14:paraId="7FFAD09C" w14:textId="77777777" w:rsidR="00712EFD" w:rsidRDefault="00000000">
      <w:pPr>
        <w:pStyle w:val="Heading1"/>
      </w:pPr>
      <w:r>
        <w:rPr>
          <w:color w:val="1E3A5F"/>
        </w:rPr>
        <w:lastRenderedPageBreak/>
        <w:t>What still matters: availability, not capacity</w:t>
      </w:r>
    </w:p>
    <w:p w14:paraId="5421F60B" w14:textId="77777777" w:rsidR="00712EFD" w:rsidRDefault="00000000">
      <w:pPr>
        <w:spacing w:after="160"/>
      </w:pPr>
      <w:r>
        <w:t>At this scale, storage and CPU both have comfortable margin — the residual question is availability, not capacity. The cheapest single-CPU tiers on most providers (Aiven included) are typically single-node with no automatic failover.</w:t>
      </w:r>
    </w:p>
    <w:p w14:paraId="35E8EA20" w14:textId="77777777" w:rsidR="00712EFD" w:rsidRDefault="00000000">
      <w:pPr>
        <w:pStyle w:val="ListBullet"/>
      </w:pPr>
      <w:r>
        <w:t>If brief downtime during maintenance or an unlikely node failure is tolerable for an editorial/production planning tool — this 2GB / 1 CPU configuration is a sound, comfortably-sized choice for 30 users.</w:t>
      </w:r>
    </w:p>
    <w:p w14:paraId="436A9734" w14:textId="77777777" w:rsidR="00712EFD" w:rsidRDefault="00000000">
      <w:pPr>
        <w:pStyle w:val="ListBullet"/>
      </w:pPr>
      <w:r>
        <w:t>If this becomes operations-critical with zero acceptable downtime during live production — that’s the reason to size up to a high-availability (multi-node) plan, not a reason to add storage or CPU.</w:t>
      </w:r>
    </w:p>
    <w:p w14:paraId="6B378DF7" w14:textId="77777777" w:rsidR="00712EFD" w:rsidRDefault="00712EFD">
      <w:pPr>
        <w:spacing w:after="240"/>
      </w:pPr>
    </w:p>
    <w:p w14:paraId="4D4E2208" w14:textId="77777777" w:rsidR="00712EFD" w:rsidRDefault="00000000">
      <w:r>
        <w:rPr>
          <w:color w:val="5B6B7D"/>
          <w:sz w:val="18"/>
        </w:rPr>
        <w:t>Prepared from the app’s own seed/fixture data (src/data/fixtures/*.json, src/data/seedStaff.js, src/data/seedBookableAssets.js) as of v3.10, cross-referenced against the proposed PostgreSQL schema (21 tables / 6 domains) in the "Sports Calendar Schema" reference document. This revision updates the earlier 1TB scenario with a concrete 2GB / 1 CPU candidate and a stated user-concurrency assumption (10 heavy + 20 lightweight users).</w:t>
      </w:r>
    </w:p>
    <w:sectPr w:rsidR="00712E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800602">
    <w:abstractNumId w:val="8"/>
  </w:num>
  <w:num w:numId="2" w16cid:durableId="2042969442">
    <w:abstractNumId w:val="6"/>
  </w:num>
  <w:num w:numId="3" w16cid:durableId="903678777">
    <w:abstractNumId w:val="5"/>
  </w:num>
  <w:num w:numId="4" w16cid:durableId="448595864">
    <w:abstractNumId w:val="4"/>
  </w:num>
  <w:num w:numId="5" w16cid:durableId="683242164">
    <w:abstractNumId w:val="7"/>
  </w:num>
  <w:num w:numId="6" w16cid:durableId="703822431">
    <w:abstractNumId w:val="3"/>
  </w:num>
  <w:num w:numId="7" w16cid:durableId="2027632189">
    <w:abstractNumId w:val="2"/>
  </w:num>
  <w:num w:numId="8" w16cid:durableId="1911382342">
    <w:abstractNumId w:val="1"/>
  </w:num>
  <w:num w:numId="9" w16cid:durableId="108430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17"/>
    <w:rsid w:val="00712EFD"/>
    <w:rsid w:val="00AA1D8D"/>
    <w:rsid w:val="00B47730"/>
    <w:rsid w:val="00CB0664"/>
    <w:rsid w:val="00D94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A3159"/>
  <w14:defaultImageDpi w14:val="300"/>
  <w15:docId w15:val="{0FD2266E-9C31-4071-8D87-58DD9B54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 Fairweather</cp:lastModifiedBy>
  <cp:revision>2</cp:revision>
  <dcterms:created xsi:type="dcterms:W3CDTF">2013-12-23T23:15:00Z</dcterms:created>
  <dcterms:modified xsi:type="dcterms:W3CDTF">2026-08-26T17:15:00Z</dcterms:modified>
  <cp:category/>
</cp:coreProperties>
</file>