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36"/>
          <w:szCs w:val="36"/>
        </w:rPr>
        <w:t xml:space="preserve">RSNA Knee — Hoja de ruta hacia un modelo eficiente</w:t>
      </w:r>
    </w:p>
    <w:p>
      <w:pPr>
        <w:pBdr>
          <w:bottom w:val="single" w:color="1F4E79" w:sz="8" w:space="4"/>
        </w:pBdr>
        <w:spacing w:after="240"/>
      </w:pPr>
      <w:r>
        <w:rPr>
          <w:i/>
          <w:iCs/>
          <w:color w:val="595959"/>
        </w:rPr>
        <w:t xml:space="preserve">Versión 2 · 27 de septiembre de 2026 · con resultados del paso 1. Se actualiza al cerrar cada paso.</w:t>
      </w:r>
    </w:p>
    <w:p>
      <w:pPr>
        <w:pStyle w:val="Heading1"/>
        <w:spacing w:after="120" w:before="280"/>
      </w:pPr>
      <w:r>
        <w:t xml:space="preserve">1. Qué buscamos</w:t>
      </w:r>
    </w:p>
    <w:p>
      <w:pPr>
        <w:spacing w:after="100"/>
      </w:pPr>
      <w:r>
        <w:t xml:space="preserve">No vamos por el primer lugar del leaderboard. Vamos por el </w:t>
      </w:r>
      <w:r>
        <w:rPr>
          <w:b/>
          <w:bCs/>
        </w:rPr>
        <w:t xml:space="preserve">track de eficiencia</w:t>
      </w:r>
      <w:r>
        <w:t xml:space="preserve"> y por un </w:t>
      </w:r>
      <w:r>
        <w:rPr>
          <w:b/>
          <w:bCs/>
        </w:rPr>
        <w:t xml:space="preserve">paper de journal</w:t>
      </w:r>
      <w:r>
        <w:t xml:space="preserve">: un modelo eficiente, con algo de novedad y buen AUC.</w:t>
      </w:r>
    </w:p>
    <w:p>
      <w:pPr>
        <w:spacing w:after="100"/>
      </w:pPr>
      <w:r>
        <w:t xml:space="preserve">La fórmula oficial es: Eficiencia = AUC / (Benchmark − AUC máx.) + segundos / 32,400. Se minimiza. En la práctica, </w:t>
      </w:r>
      <w:r>
        <w:rPr>
          <w:b/>
          <w:bCs/>
        </w:rPr>
        <w:t xml:space="preserve">0.001 de AUC vale unos 70 segundos</w:t>
      </w:r>
      <w:r>
        <w:t xml:space="preserve"> de ejecución. La AUC sigue mandando: hoy el top 10 de eficiencia está por encima de 0.94 y el primero corre en unos 5–6 minutos con un solo modelo pequeño.</w:t>
      </w:r>
    </w:p>
    <w:p>
      <w:pPr>
        <w:spacing w:after="100"/>
      </w:pPr>
      <w:r>
        <w:t xml:space="preserve">Meta de trabajo: </w:t>
      </w:r>
      <w:r>
        <w:rPr>
          <w:b/>
          <w:bCs/>
        </w:rPr>
        <w:t xml:space="preserve">un solo modelo, pocos minutos en Kaggle, la AUC más alta que podamos</w:t>
      </w:r>
      <w:r>
        <w:t xml:space="preserve">. Cada modelo que entrenemos reporta dos números: AUC y costo (GMACs por estudio y tiempo real).</w:t>
      </w:r>
    </w:p>
    <w:p>
      <w:pPr>
        <w:pStyle w:val="Heading1"/>
        <w:spacing w:after="120" w:before="280"/>
      </w:pPr>
      <w:r>
        <w:t xml:space="preserve">2. Dónde estamos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Referencia exp002 (DINOv2-small, 224 px, 5 series × 16 cortes): fold 0 pseudo 0.827 y gold 0.776; 5 folds OOF pseudo 0.801 y gold 0.788.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Paso 1 cerrado: con esta receta ningún backbone supera a DINOv2-S. Detalle en la bitácora (sección 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Notebooks públicos: ≈ 0.94. La diferencia viene de la entrada (recorte, resolución, series), de la cabeza y de las etiquetas, no de afinar hiperparámetros.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Casi ningún paper de resonancia de rodilla reporta costo de cómputo. Ahí está nuestro espacio.</w:t>
      </w:r>
    </w:p>
    <w:p>
      <w:pPr>
        <w:pStyle w:val="Heading1"/>
        <w:spacing w:after="120" w:before="280"/>
      </w:pPr>
      <w:r>
        <w:t xml:space="preserve">3. Cómo se leen los pasos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paso es una </w:t>
      </w:r>
      <w:r>
        <w:rPr>
          <w:b/>
          <w:bCs/>
        </w:rPr>
        <w:t xml:space="preserve">pregunta</w:t>
      </w:r>
      <w:r>
        <w:t xml:space="preserve">. Para responderla se entrenan varios modelos (cada uno es un experimento SDD con una sola variable).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resultado de un paso puede ser "funciona" o "no funciona"; los dos cuentan. Lo que funciona pasa al siguiente paso.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 paso deja 3 ganadores, el siguiente paso se prueba sobre los 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ideas son un punto de partida, no una receta. Si en el camino aparece algo mejor, se propone como experimento.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Screening en fold 0 contra el padre; lo prometedor se confirma con 5 folds. Gold nunca elige, solo veta.</w:t>
      </w:r>
    </w:p>
    <w:p>
      <w:pPr>
        <w:pStyle w:val="Heading1"/>
        <w:spacing w:after="120" w:before="280"/>
      </w:pPr>
      <w:r>
        <w:t xml:space="preserve">4. Los 10 pasos</w:t>
      </w:r>
    </w:p>
    <w:p>
      <w:pPr>
        <w:spacing w:after="100"/>
      </w:pPr>
      <w:r>
        <w:t xml:space="preserve">Cambio en esta versión: entra un paso 2 nuevo sobre la calidad de las etiquetas (absorbe el antiguo paso 5); LP-FT pasa a 3 y la entrada v2 a 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50"/>
        <w:gridCol w:w="3710"/>
        <w:gridCol w:w="1700"/>
        <w:gridCol w:w="13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se prueba (ideas)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deja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¿Qué backbone da más AUC por unidad de cómputo?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Barrido de 7 backbones con la receta de exp002: de MobileNetV4 y EfficientNetV2 a DINOv3-S, DINOv2-S (control) y CoAtNet-2 (techo).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Hecho: ninguno supera a DINOv2-S (ver bitácora)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Rodrigo + Claude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2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¿Quién etiqueta mejor?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Varios LLM abiertos locales etiquetan los mismos informes; se miden contra un set "silver" hecho a mano; consenso, "no mencionado" distinto de "negativo", limpieza con OOF.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Etiquetas v2 + etiquetador elegido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Rodrigo + equipo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3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¿Cómo adaptamos mejor los 3 backbones?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Un cambio grande que no toque la inferencia: LP-FT (primero cabeza, luego backbone) y adaptación fusionable tipo LoRA/SSF, más warmup.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Receta de ajuste estable para los 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Rodrigo + Claude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4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¿Qué entrada le damos al modelo?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Entrada v2: series por metadatos (slots), lateralidad alineada, recorte físico de la rodilla, resolución menor si el recorte lo permite.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Cache v2 (ya construido) + ganancia medida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Rodrigo + Claude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5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¿Cómo junta el modelo cortes y series?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Cabeza que decide qué mira cada hallazgo (una consulta por etiqueta) contra la atención actual y contra la simple media.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Cabeza elegida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Equipo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6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¿Cuánto cómputo necesitamos de verdad?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Curva AUC-vs-costo: cortes por serie, número de series y resolución; selector de los cortes más útiles.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Curva de Pareto (figura del paper)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Equipo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7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¿Podemos comprimir un modelo fuerte en uno chico?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Destilación: un profesor caro (ensemble o modelo base de rodilla) enseña a un alumno pequeño.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Alumno único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Equipo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8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¿Un modelo o cinco?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Promedio de pesos de los folds (soup) contra ensemble de predicciones.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Un solo peso final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Equipo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9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¿Qué tan rápido corre en Kaggle?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Lectura de DICOM rápida, fp16, INT8, fusión de tokens entre cortes vecinos; medido con reloj real.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Notebook de envío cronometrado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Equipo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10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¿Dónde está la novedad extra?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El informe como "maestro" solo en entrenamiento, o preentrenamiento autosupervisado en nuestros 820k cortes.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Candidato a contribución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Equipo</w:t>
            </w:r>
          </w:p>
        </w:tc>
      </w:tr>
    </w:tbl>
    <w:p>
      <w:pPr>
        <w:pStyle w:val="Heading2"/>
        <w:spacing w:after="80" w:before="200"/>
      </w:pPr>
      <w:r>
        <w:t xml:space="preserve">Paso 1 · Barrido de backbones (cerrado)</w:t>
      </w:r>
    </w:p>
    <w:p>
      <w:pPr>
        <w:spacing w:after="100"/>
      </w:pPr>
      <w:r>
        <w:t xml:space="preserve">Misma receta que exp002, solo cambia el backbone; 7 modelos de barato (MobileNetV4-M) a caro (CoAtNet-2). Resultado en la bitácora: DINOv2-S sigue arriba y el costo extra no paga.</w:t>
      </w:r>
    </w:p>
    <w:p>
      <w:pPr>
        <w:pStyle w:val="Heading2"/>
        <w:spacing w:after="80" w:before="200"/>
      </w:pPr>
      <w:r>
        <w:t xml:space="preserve">Paso 2 · ¿Quién etiqueta mejor? (nuevo)</w:t>
      </w:r>
    </w:p>
    <w:p>
      <w:pPr>
        <w:spacing w:after="100"/>
      </w:pPr>
      <w:r>
        <w:t xml:space="preserve">Idea de Rodrigo. Las pseudo-etiquetas v1 salen de Qwen2.5-7B leyendo los informes: acuerdo ≈ 0.80 contra los 58 gold, flojas en MCL, Effusion y Synovitis, y "no mencionado" quedó como 0.5. Si las etiquetas son el techo, cambiar de backbone no lo mueve.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Candidatos</w:t>
      </w:r>
      <w:r>
        <w:t xml:space="preserve">, todos abiertos y en nuestra GPU: Qwen2.5-7B (actual), Qwen3-8B, Qwen2.5-72B o Llama-3.3-70B cuantizados, MedGemma-27B y el consenso de varios.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Cómo se juntan</w:t>
      </w:r>
      <w:r>
        <w:t xml:space="preserve">: mismo prompt y misma salida por hallazgo (positivo / negativo / no mencionado / incierto); acuerdo entre LLM por hallazgo (kappa); voto mayoritario o promedio de probabilidades como soft label; los desacuerdos quedan como inciertos con peso bajo o van a revisión humana. "No mencionado" no es "negativo". GreenRFM ya usa consenso de 2 LLM en rodilla.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qué no Claude o GPT por API</w:t>
      </w:r>
      <w:r>
        <w:t xml:space="preserve">: la regla §1 de la competencia prohíbe transmitir Competition Data a terceros, y para el journal un LLM abierto es reproducible y más limpio éticamente.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 qué se comparan</w:t>
      </w:r>
      <w:r>
        <w:t xml:space="preserve">: no contra los 58 gold (gold solo veta). El equipo etiqueta a mano un set "silver" de ~200 informes leyendo el texto (1–2 h). Con silver se elige etiquetador; gold queda limpio para el paper.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Prueba real</w:t>
      </w:r>
      <w:r>
        <w:t xml:space="preserve">: reentrenar el mejor modelo del paso 1 con las etiquetas ganadoras; juez = gold + Kaggle. Ojo: al cambiar las etiquetas la pseudo-AUC cambia de significado, así que antes y después no se comparan por pseudo.</w:t>
      </w:r>
    </w:p>
    <w:p>
      <w:pPr>
        <w:spacing w:after="100"/>
      </w:pPr>
      <w:r>
        <w:rPr>
          <w:b/>
          <w:bCs/>
        </w:rPr>
        <w:t xml:space="preserve">Decisiones pendientes de Rodrigo</w:t>
      </w:r>
      <w:r>
        <w:t xml:space="preserve">: (a) OK a LLM abiertos en vez de Claude; (b) armar el set silver; (c) los 3 backbones que siguen: propuesta DINOv2-S, ConvNeXt-T DINOv3 y ConvNeXtV2-N (o CoAtNet-2).</w:t>
      </w:r>
    </w:p>
    <w:p>
      <w:pPr>
        <w:pStyle w:val="Heading2"/>
        <w:spacing w:after="80" w:before="200"/>
      </w:pPr>
      <w:r>
        <w:t xml:space="preserve">Paso 3 · Un cambio grande sobre los 3 backbones</w:t>
      </w:r>
    </w:p>
    <w:p>
      <w:pPr>
        <w:spacing w:after="100"/>
      </w:pPr>
      <w:r>
        <w:t xml:space="preserve">exp002 colapsó en el fold 1 al descongelar el backbone. LP-FT (entrenar primero solo la cabeza y luego todo) ataca justo eso y no cuesta nada en inferencia. La variante con LoRA/SSF se fusiona con los pesos, así que tampoco suma costo. Se prueba sobre los 3 backbones elegidos.</w:t>
      </w:r>
    </w:p>
    <w:p>
      <w:pPr>
        <w:pStyle w:val="Heading2"/>
        <w:spacing w:after="80" w:before="200"/>
      </w:pPr>
      <w:r>
        <w:t xml:space="preserve">Paso 4 · Entrada v2</w:t>
      </w:r>
    </w:p>
    <w:p>
      <w:pPr>
        <w:spacing w:after="100"/>
      </w:pPr>
      <w:r>
        <w:t xml:space="preserve">Diseño en docs/pasos/paso3_entrada_v2.md (escrito cuando era el paso 3). Series elegidas por 6 slots de contenido según metadatos DICOM, espejado a rodilla derecha y recorte físico de 130 mm a 0.5 mm/px; luego se prueba bajar la resolución. Una variable por experimento (3a–3f en ese documento), cada uno sobre el mejor anterior.</w:t>
      </w:r>
    </w:p>
    <w:p>
      <w:pPr>
        <w:pStyle w:val="Heading2"/>
        <w:spacing w:after="80" w:before="200"/>
      </w:pPr>
      <w:r>
        <w:t xml:space="preserve">Pasos 5–10</w:t>
      </w:r>
    </w:p>
    <w:p>
      <w:pPr>
        <w:spacing w:after="100"/>
      </w:pPr>
      <w:r>
        <w:t xml:space="preserve">Quedan abiertos para el equipo. Cada uno toma lo que funcionó antes. El paso 6 (curva AUC-vs-costo) y el 7 (destilación) son los que más peso tienen para el paper.</w:t>
      </w:r>
    </w:p>
    <w:p>
      <w:pPr>
        <w:pStyle w:val="Heading1"/>
        <w:spacing w:after="120" w:before="280"/>
      </w:pPr>
      <w:r>
        <w:t xml:space="preserve">5. El hilo del paper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Curva AUC-vs-costo</w:t>
      </w:r>
      <w:r>
        <w:t xml:space="preserve"> en resonancia volumétrica multi-hallazgo: nadie la ha publicado.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Primer track de eficiencia de un reto RSNA</w:t>
      </w:r>
      <w:r>
        <w:t xml:space="preserve">: medir contra la fórmula oficial no tiene precedente.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 solo modelo pequeño</w:t>
      </w:r>
      <w:r>
        <w:t xml:space="preserve">, entrenado con etiquetas de informes en ~12 idiomas y sin informe en test. Ojo: "soft labels de LLM" solo no basta, otro equipo ya lo hace.</w:t>
      </w:r>
    </w:p>
    <w:p>
      <w:pPr>
        <w:spacing w:after="100"/>
      </w:pPr>
      <w:r>
        <w:t xml:space="preserve">Comparadores directos: CoPAS (Nat Commun 2024, 12 hallazgos de rodilla, AUC 0.81, sin costo reportado), Vuskov (Eur Radiol 2025), MRNet y Medical Slice Transformer.</w:t>
      </w:r>
    </w:p>
    <w:p>
      <w:pPr>
        <w:pStyle w:val="Heading1"/>
        <w:spacing w:after="120" w:before="280"/>
      </w:pPr>
      <w:r>
        <w:t xml:space="preserve">6. Cuidados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usar flips que cambien medial por lateral sin alinear la lateralidad.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Revisar licencias de pesos (DINOv3, ConvNeXt-V2 y EUPE tienen restricciones).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hallazgos raros (fractura, Baker) la pseudo AUC es ruidosa: mirar AUC por etiqueta, no solo la media.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Siempre comparar contra la simple media de cortes: a veces gana a métodos más elaborados.</w:t>
      </w:r>
    </w:p>
    <w:p>
      <w:pPr>
        <w:pStyle w:val="Heading1"/>
        <w:spacing w:after="120" w:before="280"/>
      </w:pPr>
      <w:r>
        <w:t xml:space="preserve">7. Bitácora de resultados</w:t>
      </w:r>
    </w:p>
    <w:p>
      <w:pPr>
        <w:spacing w:after="100"/>
      </w:pPr>
      <w:r>
        <w:t xml:space="preserve">Se llena al cerrar cada paso con los números de metrics.json.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06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aprendimos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 al siguiente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Ningún backbone supera a DINOv2-S (pseudo 0.827 en fold 0). ConvNeXtV2-N: −0.025 con 60 % menos GMACs.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Más grande no paga: CoAtNet-2 queda cerca (−0.012) con 2.5× el cómputo. Pseudo y gold ordenan igual a los 7 modelos.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Propuesta: DINOv2-S, ConvNeXt-T DINOv3, ConvNeXtV2-N (decide Rodrigo).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pendiente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pendiente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</w:tr>
    </w:tbl>
    <w:p>
      <w:pPr>
        <w:pStyle w:val="Heading2"/>
        <w:spacing w:after="80" w:before="200"/>
      </w:pPr>
      <w:r>
        <w:t xml:space="preserve">Paso 1 · Números (fold 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50"/>
        <w:gridCol w:w="950"/>
        <w:gridCol w:w="1000"/>
        <w:gridCol w:w="1000"/>
        <w:gridCol w:w="1300"/>
        <w:gridCol w:w="1260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Backbone (exp)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Pseudo f0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Gold f0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Δ pseudo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Δ gold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GMACs</w:t>
            </w:r>
          </w:p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/estudio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ms</w:t>
            </w:r>
          </w:p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/estudio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DINOv2-S (exp002, padre)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0.827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0.776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—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—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490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14.6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CoAtNet-2 (exp008)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0.814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0.773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−0.003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1,202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65.5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ConvNeXt-T DINOv3 (exp007)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0.808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0.767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356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18.9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ConvNeXtV2-N (exp005)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0.802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0.757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−0.019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196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24.7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DINOv3-S (exp006)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0.779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0.745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−0.047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−0.031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376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16.7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EfficientNetV2-B3 (exp004)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0.771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−0.056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−0.070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129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15.9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MobileNetV4-M (exp003)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0.743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0.701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−0.083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−0.076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66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t xml:space="preserve">9.2</w:t>
            </w:r>
          </w:p>
        </w:tc>
      </w:tr>
    </w:tbl>
    <w:p>
      <w:pPr>
        <w:spacing w:after="100" w:before="60"/>
      </w:pPr>
      <w:r>
        <w:rPr>
          <w:i/>
          <w:iCs/>
          <w:color w:val="595959"/>
          <w:sz w:val="18"/>
          <w:szCs w:val="18"/>
        </w:rPr>
        <w:t xml:space="preserve">Δ contra exp002 en fold 0 (gold 0.776), no contra el gold de 5 folds (0.788). Costo medido en A100: GMACs y ms por estudio de 5 series × 16 cortes.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Conclusión</w:t>
      </w:r>
      <w:r>
        <w:t xml:space="preserve">: con esta receta nada supera a DINOv2-S (5 folds: OOF pseudo 0.801, gold 0.788). El candidato barato es ConvNeXtV2-N: 196 contra 490 GMACs (−60 %) a cambio de −0.025 en pseudo.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GMACs no es tiempo</w:t>
      </w:r>
      <w:r>
        <w:t xml:space="preserve">: ConvNeXtV2-N hace menos operaciones pero tarda más por estudio (24.7 contra 14.6 ms). Para la fórmula de Kaggle cuenta el reloj, así que hay que medir los 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pseudo sirve para comparar modelos</w:t>
      </w:r>
      <w:r>
        <w:t xml:space="preserve">: el orden por pseudo y por gold coincide exactamente en los 7. No sirve como número absoluto del paper (gold queda 0.03–0.06 por debajo).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Tres backbones caen más de 0.02 en gold contra el padre (DINOv3-S, EfficientNetV2-B3, MobileNetV4-M).</w:t>
      </w:r>
    </w:p>
    <w:p>
      <w:pPr>
        <w:pStyle w:val="Heading2"/>
        <w:spacing w:after="80" w:before="200"/>
      </w:pPr>
      <w:r>
        <w:t xml:space="preserve">Infraestructura y preparación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Volumen migrado a EU-RO-1 y verificado.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exp009 (metadatos DICOM v2, worked parcial)</w:t>
      </w:r>
      <w:r>
        <w:t xml:space="preserve">: solo cabeceras, 819,635 archivos en 34 min y 0 errores. Plano por orientación en 99.3 % de las series; lado de la rodilla en 98.6 % de los estudios con 97.0 % de acierto contra el informe. El slot 1 (sagital líquido con supresión grasa) llega a 94.3 %, bajo el 95 % pedido: un hospital alemán no hace esa secuencia.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Cache v2 construido</w:t>
      </w:r>
      <w:r>
        <w:t xml:space="preserve">: 0.5 mm/px, ventana de 160 mm, espejado y recorte al leer; 20,790 series sin errores, 72 GB. Listo para el paso 4.</w:t>
      </w:r>
    </w:p>
    <w:p>
      <w:pPr>
        <w:spacing w:before="240"/>
      </w:pPr>
      <w:r>
        <w:rPr>
          <w:i/>
          <w:iCs/>
          <w:color w:val="595959"/>
          <w:sz w:val="18"/>
          <w:szCs w:val="18"/>
        </w:rPr>
        <w:t xml:space="preserve">Fuentes: 99 papers en docs/papers/ del repo; ranking y detalle en docs/papers/RANKING.md.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RSNA Knee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2026-09-27T14:43:41.091Z</dcterms:created>
  <dcterms:modified xsi:type="dcterms:W3CDTF">2026-09-27T14:43:41.092Z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