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RSNA Knee — Hoja de ruta hacia un modelo eficiente</w:t>
      </w:r>
    </w:p>
    <w:p>
      <w:pPr>
        <w:pBdr>
          <w:bottom w:val="single" w:color="1F4E79" w:sz="8" w:space="4"/>
        </w:pBdr>
        <w:spacing w:after="240"/>
      </w:pPr>
      <w:r>
        <w:rPr>
          <w:i/>
          <w:iCs/>
          <w:color w:val="595959"/>
        </w:rPr>
        <w:t xml:space="preserve">Versión 1 · 26 de septiembre de 2026 · antes de resultados. Se actualiza al cerrar cada paso.</w:t>
      </w:r>
    </w:p>
    <w:p>
      <w:pPr>
        <w:pStyle w:val="Heading1"/>
        <w:spacing w:after="120" w:before="280"/>
      </w:pPr>
      <w:r>
        <w:t xml:space="preserve">1. Qué buscamos</w:t>
      </w:r>
    </w:p>
    <w:p>
      <w:pPr>
        <w:spacing w:after="100"/>
      </w:pPr>
      <w:r>
        <w:t xml:space="preserve">No vamos por el primer lugar del leaderboard. Vamos por el </w:t>
      </w:r>
      <w:r>
        <w:rPr>
          <w:b/>
          <w:bCs/>
        </w:rPr>
        <w:t xml:space="preserve">track de eficiencia</w:t>
      </w:r>
      <w:r>
        <w:t xml:space="preserve"> y por un </w:t>
      </w:r>
      <w:r>
        <w:rPr>
          <w:b/>
          <w:bCs/>
        </w:rPr>
        <w:t xml:space="preserve">paper de journal</w:t>
      </w:r>
      <w:r>
        <w:t xml:space="preserve">: un modelo eficiente, con algo de novedad y buen AUC.</w:t>
      </w:r>
    </w:p>
    <w:p>
      <w:pPr>
        <w:spacing w:after="100"/>
      </w:pPr>
      <w:r>
        <w:t xml:space="preserve">La fórmula oficial es: Eficiencia = AUC / (Benchmark − AUC máx.) + segundos / 32,400. Se minimiza. En la práctica, </w:t>
      </w:r>
      <w:r>
        <w:rPr>
          <w:b/>
          <w:bCs/>
        </w:rPr>
        <w:t xml:space="preserve">0.001 de AUC vale unos 70 segundos</w:t>
      </w:r>
      <w:r>
        <w:t xml:space="preserve"> de ejecución. La AUC sigue mandando: hoy el top 10 de eficiencia está por encima de 0.94 y el primero corre en unos 5–6 minutos con un solo modelo pequeño.</w:t>
      </w:r>
    </w:p>
    <w:p>
      <w:pPr>
        <w:spacing w:after="100"/>
      </w:pPr>
      <w:r>
        <w:t xml:space="preserve">Meta de trabajo: </w:t>
      </w:r>
      <w:r>
        <w:rPr>
          <w:b/>
          <w:bCs/>
        </w:rPr>
        <w:t xml:space="preserve">un solo modelo, pocos minutos en Kaggle, la AUC más alta que podamos</w:t>
      </w:r>
      <w:r>
        <w:t xml:space="preserve">. Cada modelo que entrenemos reporta dos números: AUC y costo (GMACs por estudio y tiempo real).</w:t>
      </w:r>
    </w:p>
    <w:p>
      <w:pPr>
        <w:pStyle w:val="Heading1"/>
        <w:spacing w:after="120" w:before="280"/>
      </w:pPr>
      <w:r>
        <w:t xml:space="preserve">2. Dónde estamos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Referencia exp002 (DINOv2-small, 224 px, 5 series × 16 cortes): gold ≈ 0.78 en fold 0; los 5 folds ya terminaron.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Notebooks públicos: ≈ 0.94. La diferencia viene de la entrada (recorte, resolución, series), de la cabeza y de las etiquetas, no de afinar hiperparámetros.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Casi ningún paper de resonancia de rodilla reporta costo de cómputo. Ahí está nuestro espacio.</w:t>
      </w:r>
    </w:p>
    <w:p>
      <w:pPr>
        <w:pStyle w:val="Heading1"/>
        <w:spacing w:after="120" w:before="280"/>
      </w:pPr>
      <w:r>
        <w:t xml:space="preserve">3. Cómo se leen los 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paso es una </w:t>
      </w:r>
      <w:r>
        <w:rPr>
          <w:b/>
          <w:bCs/>
        </w:rPr>
        <w:t xml:space="preserve">pregunta</w:t>
      </w:r>
      <w:r>
        <w:t xml:space="preserve">. Para responderla se entrenan varios modelos (cada uno es un experimento SDD con una sola variable).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resultado de un paso puede ser "funciona" o "no funciona"; los dos cuentan. Lo que funciona pasa al siguiente paso.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 paso deja 3 ganadores, el siguiente paso se prueba sobre los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ideas son un punto de partida, no una receta. Si en el camino aparece algo mejor, se propone como experimento.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Screening en fold 0 contra el padre; lo prometedor se confirma con 5 folds. Gold nunca elige, solo veta.</w:t>
      </w:r>
    </w:p>
    <w:p>
      <w:pPr>
        <w:pStyle w:val="Heading1"/>
        <w:spacing w:after="120" w:before="280"/>
      </w:pPr>
      <w:r>
        <w:t xml:space="preserve">4. Los 10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50"/>
        <w:gridCol w:w="3710"/>
        <w:gridCol w:w="1700"/>
        <w:gridCol w:w="1300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prueba (ideas)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deja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¿Qué backbone da más AUC por unidad de cómputo?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Barrido de 7–8 backbones con la receta de exp002: de MobileNetV4 y EfficientNetV2 a DINOv3-S, DINOv2-S (control) y CoAtNet-384 (techo).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Top 3 del frente de Pareto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Rodrigo + Claude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¿Cómo adaptamos mejor esos 3 backbones?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Un cambio grande que no toque la inferencia: LP-FT (primero cabeza, luego backbone) y adaptación fusionable tipo LoRA/SSF, más warmup.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Receta de ajuste estable para los 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Rodrigo + Claude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¿Qué entrada le damos al modelo?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Preprocesamiento v2: recorte físico de la rodilla, lateralidad alineada, series elegidas por metadatos, resolución menor si el recorte lo permite.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Cache v2 + ganancia medida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Rodrigo + Claude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4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¿Cómo junta el modelo cortes y series?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Cabeza que decide qué mira cada hallazgo (una consulta por etiqueta) contra la atención actual y contra la simple media.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Cabeza elegida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Equipo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5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¿Qué tan buenas son las etiquetas?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Pseudo-etiquetas v2: varios LLM de acuerdo, "no mencionado" distinto de "negativo", limpieza con predicciones OOF, pérdidas robustas al ruido.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Etiquetas v2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Equipo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6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¿Cuánto cómputo necesitamos de verdad?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Curva AUC-vs-costo: cortes por serie, número de series y resolución; selector de los cortes más útiles.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Curva de Pareto (figura del paper)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Equipo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7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¿Podemos comprimir un modelo fuerte en uno chico?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Destilación: un profesor caro (ensemble o modelo base de rodilla) enseña a un alumno pequeño.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Alumno único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Equipo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8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¿Un modelo o cinco?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Promedio de pesos de los folds (soup) contra ensemble de predicciones.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Un solo peso final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Equipo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9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¿Qué tan rápido corre en Kaggle?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Lectura de DICOM rápida, fp16, INT8, fusión de tokens entre cortes vecinos; medido con reloj real.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Notebook de envío cronometrado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Equipo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10</w:t>
            </w:r>
          </w:p>
        </w:tc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¿Dónde está la novedad extra?</w:t>
            </w:r>
          </w:p>
        </w:tc>
        <w:tc>
          <w:tcPr>
            <w:tcW w:type="dxa" w:w="3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El informe como "maestro" solo en entrenamiento, o preentrenamiento autosupervisado en nuestros 820k cortes.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Candidato a contribución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Equipo</w:t>
            </w:r>
          </w:p>
        </w:tc>
      </w:tr>
    </w:tbl>
    <w:p>
      <w:pPr>
        <w:pStyle w:val="Heading2"/>
        <w:spacing w:after="80" w:before="200"/>
      </w:pPr>
      <w:r>
        <w:t xml:space="preserve">Paso 1 · Barrido de backbones</w:t>
      </w:r>
    </w:p>
    <w:p>
      <w:pPr>
        <w:spacing w:after="100"/>
      </w:pPr>
      <w:r>
        <w:t xml:space="preserve">Misma receta que exp002, solo cambia el backbone. Candidatos que cubren de barato a caro: MobileNetV4-M (384), EfficientNetV2-B3, ViT-tiny DINOv3, DINOv3-S/16, DINOv2-S (control), ConvNeXt-T DINOv3 y CoAtNet-384. La evidencia dice que un backbone más grande casi nunca paga en médico; queremos verlo con nuestros datos. Salen los 3 mejores por AUC y costo.</w:t>
      </w:r>
    </w:p>
    <w:p>
      <w:pPr>
        <w:pStyle w:val="Heading2"/>
        <w:spacing w:after="80" w:before="200"/>
      </w:pPr>
      <w:r>
        <w:t xml:space="preserve">Paso 2 · Un cambio grande sobre los 3 mejores</w:t>
      </w:r>
    </w:p>
    <w:p>
      <w:pPr>
        <w:spacing w:after="100"/>
      </w:pPr>
      <w:r>
        <w:t xml:space="preserve">exp002 colapsó en el fold 1 al descongelar el backbone. LP-FT (entrenar primero solo la cabeza y luego todo) ataca justo eso y no cuesta nada en inferencia. La variante con LoRA/SSF se fusiona con los pesos, así que tampoco suma costo. Se prueba sobre los 3 backbones del paso 1.</w:t>
      </w:r>
    </w:p>
    <w:p>
      <w:pPr>
        <w:pStyle w:val="Heading2"/>
        <w:spacing w:after="80" w:before="200"/>
      </w:pPr>
      <w:r>
        <w:t xml:space="preserve">Paso 3 · Preprocesamiento v2</w:t>
      </w:r>
    </w:p>
    <w:p>
      <w:pPr>
        <w:spacing w:after="100"/>
      </w:pPr>
      <w:r>
        <w:t xml:space="preserve">Todos los ganadores de Kaggle recortan primero la zona de interés. Ideas: recorte físico fijo de la rodilla, alinear izquierda/derecha (los flips confunden medial con lateral), elegir las series por sus metadatos DICOM y bajar la resolución cuando el recorte ya da detalle. Un recorte bien hecho puede subir la AUC y bajar el costo a la vez.</w:t>
      </w:r>
    </w:p>
    <w:p>
      <w:pPr>
        <w:pStyle w:val="Heading2"/>
        <w:spacing w:after="80" w:before="200"/>
      </w:pPr>
      <w:r>
        <w:t xml:space="preserve">Pasos 4–10</w:t>
      </w:r>
    </w:p>
    <w:p>
      <w:pPr>
        <w:spacing w:after="100"/>
      </w:pPr>
      <w:r>
        <w:t xml:space="preserve">Quedan abiertos para el equipo. Cada uno toma lo que funcionó antes. El paso 6 (curva AUC-vs-costo) y el 7 (destilación) son los que más peso tienen para el paper.</w:t>
      </w:r>
    </w:p>
    <w:p>
      <w:pPr>
        <w:pStyle w:val="Heading1"/>
        <w:spacing w:after="120" w:before="280"/>
      </w:pPr>
      <w:r>
        <w:t xml:space="preserve">5. El hilo del paper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Curva AUC-vs-costo</w:t>
      </w:r>
      <w:r>
        <w:t xml:space="preserve"> en resonancia volumétrica multi-hallazgo: nadie la ha publicado.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Primer track de eficiencia de un reto RSNA</w:t>
      </w:r>
      <w:r>
        <w:t xml:space="preserve">: medir contra la fórmula oficial no tiene precedente.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solo modelo pequeño</w:t>
      </w:r>
      <w:r>
        <w:t xml:space="preserve">, entrenado con etiquetas de informes en ~12 idiomas y sin informe en test. Ojo: "soft labels de LLM" solo no basta, otro equipo ya lo hace.</w:t>
      </w:r>
    </w:p>
    <w:p>
      <w:pPr>
        <w:spacing w:after="100"/>
      </w:pPr>
      <w:r>
        <w:t xml:space="preserve">Comparadores directos: CoPAS (Nat Commun 2024, 12 hallazgos de rodilla, AUC 0.81, sin costo reportado), Vuskov (Eur Radiol 2025), MRNet y Medical Slice Transformer.</w:t>
      </w:r>
    </w:p>
    <w:p>
      <w:pPr>
        <w:pStyle w:val="Heading1"/>
        <w:spacing w:after="120" w:before="280"/>
      </w:pPr>
      <w:r>
        <w:t xml:space="preserve">6. Cuidados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usar flips que cambien medial por lateral sin alinear la lateralidad.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Revisar licencias de pesos (DINOv3, ConvNeXt-V2 y EUPE tienen restricciones).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hallazgos raros (fractura, Baker) la pseudo AUC es ruidosa: mirar AUC por etiqueta, no solo la media.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Siempre comparar contra la simple media de cortes: a veces gana a métodos más elaborados.</w:t>
      </w:r>
    </w:p>
    <w:p>
      <w:pPr>
        <w:pStyle w:val="Heading1"/>
        <w:spacing w:after="120" w:before="280"/>
      </w:pPr>
      <w:r>
        <w:t xml:space="preserve">7. Bitácora de resultados</w:t>
      </w:r>
    </w:p>
    <w:p>
      <w:pPr>
        <w:spacing w:after="100"/>
      </w:pPr>
      <w:r>
        <w:t xml:space="preserve">Se llena al cerrar cada paso con los números de metrics.json.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306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aprendimos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pasa al siguiente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1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pendiente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pendiente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3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t xml:space="preserve">pendiente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</w:tr>
    </w:tbl>
    <w:p>
      <w:pPr>
        <w:spacing w:before="240"/>
      </w:pPr>
      <w:r>
        <w:rPr>
          <w:i/>
          <w:iCs/>
          <w:color w:val="595959"/>
          <w:sz w:val="18"/>
          <w:szCs w:val="18"/>
        </w:rPr>
        <w:t xml:space="preserve">Fuentes: 99 papers en docs/papers/ del repo; ranking y detalle en docs/papers/RANKING.md.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RSNA Knee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2026-09-26T15:46:55.781Z</dcterms:created>
  <dcterms:modified xsi:type="dcterms:W3CDTF">2026-09-26T15:46:55.782Z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