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Acordo de Tratamento de Dados Pessoais (DPA)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Modelo para revisão jurídica. Preencha os campos entre colchetes e os espaços em branco antes da assinatura. Este DPA complementa o Contrato de Prestação de Serviços do sistema RRB Escola.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CONTROLADORA: </w:t>
      </w:r>
      <w:r>
        <w:rPr>
          <w:rFonts w:ascii="Arial" w:cs="Arial" w:eastAsia="Arial" w:hAnsi="Arial"/>
          <w:sz w:val="20"/>
          <w:szCs w:val="20"/>
        </w:rPr>
        <w:t xml:space="preserve">[RAZÃO SOCIAL DA INSTITUIÇÃO DE ENSINO], inscrita no CNPJ sob o nº [__________], com sede em [endereço], neste ato denominada “Instituição” ou “Controladora”.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OPERADORA: </w:t>
      </w:r>
      <w:r>
        <w:rPr>
          <w:rFonts w:ascii="Arial" w:cs="Arial" w:eastAsia="Arial" w:hAnsi="Arial"/>
          <w:sz w:val="20"/>
          <w:szCs w:val="20"/>
        </w:rPr>
        <w:t xml:space="preserve">RRB TRADING LTDA., inscrita no CNPJ sob o nº 60.347.383/0001-09, com sede em São Paulo/SP, neste ato denominada “RRB” ou “Operadora”.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acima, considerando que a RRB fornece à Instituição o sistema de gestão escolar RRB Escola, celebram este Acordo de Tratamento de Dados Pessoais (“DPA”), que integra e complementa o contrato principal, nos termos da Lei nº 13.709/2018 (“LGPD”).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Definições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Os termos “dado pessoal”, “dado pessoal sensível”, “titular”, “tratamento”, “controlador”, “operador”, “encarregado” e “incidente de segurança” têm o significado atribuído pela LGPD. “Suboperador” é o terceiro contratado pela Operadora para tratar dados em nome da Controladora.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Objeto e papéis das partes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DPA disciplina o tratamento de dados pessoais realizado pela RRB por conta e ordem da Instituição, no âmbito do RRB Escola.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Instituição é a Controladora</w:t>
      </w:r>
      <w:r>
        <w:rPr>
          <w:rFonts w:ascii="Arial" w:cs="Arial" w:eastAsia="Arial" w:hAnsi="Arial"/>
          <w:sz w:val="20"/>
          <w:szCs w:val="20"/>
        </w:rPr>
        <w:t xml:space="preserve"> dos dados de alunos, responsáveis, colaboradores e demais registros escolares que insere ou gera no sistema, cabendo-lhe definir as finalidades e as bases legais do tratamento.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RRB é a Operadora</w:t>
      </w:r>
      <w:r>
        <w:rPr>
          <w:rFonts w:ascii="Arial" w:cs="Arial" w:eastAsia="Arial" w:hAnsi="Arial"/>
          <w:sz w:val="20"/>
          <w:szCs w:val="20"/>
        </w:rPr>
        <w:t xml:space="preserve">, tratando tais dados exclusivamente conforme as instruções documentadas da Instituição e este DPA.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  </w:t>
      </w:r>
      <w:r>
        <w:rPr>
          <w:rFonts w:ascii="Arial" w:cs="Arial" w:eastAsia="Arial" w:hAnsi="Arial"/>
          <w:sz w:val="20"/>
          <w:szCs w:val="20"/>
        </w:rPr>
        <w:t xml:space="preserve">Quanto aos dados de cadastro da conta, contratação, faturamento, usuários administradores, logs técnicos e segurança, a RRB atua como Controladora, nos termos de sua Política de Privacidade.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Obrigações da Operadora (art. 39 da LGPD)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RRB obriga-se a: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tratar os dados pessoais somente conforme as instruções documentadas da Instituição, inclusive quanto a transferências internacionais, salvo obrigação legal;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garantir que as pessoas autorizadas ao tratamento estejam sujeitas a dever de confidencialidade;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adotar as medidas de segurança técnicas e organizacionais previstas no Anexo II;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auxiliar a Instituição no atendimento às requisições dos titulares (art. 18) e no cumprimento das obrigações dos arts. 48 e 50 da LGPD;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e)  </w:t>
      </w:r>
      <w:r>
        <w:rPr>
          <w:rFonts w:ascii="Arial" w:cs="Arial" w:eastAsia="Arial" w:hAnsi="Arial"/>
          <w:sz w:val="20"/>
          <w:szCs w:val="20"/>
        </w:rPr>
        <w:t xml:space="preserve">comunicar a Instituição sobre incidentes de segurança na forma da cláusula 6;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f)  </w:t>
      </w:r>
      <w:r>
        <w:rPr>
          <w:rFonts w:ascii="Arial" w:cs="Arial" w:eastAsia="Arial" w:hAnsi="Arial"/>
          <w:sz w:val="20"/>
          <w:szCs w:val="20"/>
        </w:rPr>
        <w:t xml:space="preserve">manter registro das operações de tratamento que realizar;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g)  </w:t>
      </w:r>
      <w:r>
        <w:rPr>
          <w:rFonts w:ascii="Arial" w:cs="Arial" w:eastAsia="Arial" w:hAnsi="Arial"/>
          <w:sz w:val="20"/>
          <w:szCs w:val="20"/>
        </w:rPr>
        <w:t xml:space="preserve">eliminar ou devolver os dados ao término, conforme a cláusula 8;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h)  </w:t>
      </w:r>
      <w:r>
        <w:rPr>
          <w:rFonts w:ascii="Arial" w:cs="Arial" w:eastAsia="Arial" w:hAnsi="Arial"/>
          <w:sz w:val="20"/>
          <w:szCs w:val="20"/>
        </w:rPr>
        <w:t xml:space="preserve">dar ciência prévia à Instituição sobre a contratação de suboperadores, conforme a cláusula 4.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Suboperadores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Instituição autoriza a RRB a utilizar os suboperadores listados no Anexo III. A RRB imporá aos suboperadores obrigações de proteção de dados equivalentes às deste DPA e permanece responsável perante a Instituição pelos atos deles. Alterações relevantes na lista serão comunicadas com antecedência razoável, facultando-se à Instituição a oposição fundamentada.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Dados sensíveis e de crianças e adolescentes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pode tratar dados pessoais sensíveis (inclusive biometria facial, no módulo de portaria) e dados de crianças e adolescentes. Nesses casos: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  </w:t>
      </w:r>
      <w:r>
        <w:rPr>
          <w:rFonts w:ascii="Arial" w:cs="Arial" w:eastAsia="Arial" w:hAnsi="Arial"/>
          <w:sz w:val="20"/>
          <w:szCs w:val="20"/>
        </w:rPr>
        <w:t xml:space="preserve">cabe à Instituição, como Controladora, obter o consentimento específico e em destaque dos pais ou responsáveis (e, para adolescentes de 16 a 18 anos, também o do próprio adolescente) e definir a base legal, observado o melhor interesse do menor (arts. 11 e 14 da LGPD);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  </w:t>
      </w:r>
      <w:r>
        <w:rPr>
          <w:rFonts w:ascii="Arial" w:cs="Arial" w:eastAsia="Arial" w:hAnsi="Arial"/>
          <w:sz w:val="20"/>
          <w:szCs w:val="20"/>
        </w:rPr>
        <w:t xml:space="preserve">a RRB tratará esses dados apenas para a finalidade instruída (ex.: controle de acesso), aplicando minimização e vedada a reutilização para outros fins;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  </w:t>
      </w:r>
      <w:r>
        <w:rPr>
          <w:rFonts w:ascii="Arial" w:cs="Arial" w:eastAsia="Arial" w:hAnsi="Arial"/>
          <w:sz w:val="20"/>
          <w:szCs w:val="20"/>
        </w:rPr>
        <w:t xml:space="preserve">a RRB disponibilizará meios para eliminação do dado biométrico mediante solicitação da Instituição ou do titular/responsável.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Incidentes de segurança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RRB comunicará a Instituição, sem demora injustificada e em prazo não superior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48 (quarenta e oito) horas</w:t>
      </w:r>
      <w:r>
        <w:rPr>
          <w:rFonts w:ascii="Arial" w:cs="Arial" w:eastAsia="Arial" w:hAnsi="Arial"/>
          <w:sz w:val="20"/>
          <w:szCs w:val="20"/>
        </w:rPr>
        <w:t xml:space="preserve"> do conhecimento, qualquer incidente de segurança que possa acarretar risco ou dano aos titulares, fornecendo as informações necessárias para que a Instituição avalie a comunicação à ANPD e aos titulares (art. 48 da LGPD). A comunicação da RRB não substitui a avaliação e a decisão da Instituição enquanto Controladora.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Direitos dos titulares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RRB auxiliará a Instituição a responder às solicitações dos titulares. Recebendo pedido diretamente de um titular referente a dados sob controladoria da Instituição, a RRB o encaminhará à Instituição e não responderá diretamente, salvo instrução em contrário.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Vigência, término, devolução e eliminação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DPA vigora enquanto durar o tratamento de dados no âmbito do contrato principal. Encerrada a relação, a RRB, conforme instrução da Instituição, devolverá os dados em formato interoperável e/ou os eliminará em prazo de até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[30] dias</w:t>
      </w:r>
      <w:r>
        <w:rPr>
          <w:rFonts w:ascii="Arial" w:cs="Arial" w:eastAsia="Arial" w:hAnsi="Arial"/>
          <w:sz w:val="20"/>
          <w:szCs w:val="20"/>
        </w:rPr>
        <w:t xml:space="preserve">, ressalvada a guarda exigida por lei.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Transferência internacional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Havendo tratamento por suboperadores fora do Brasil (Anexo III), a RRB adotará salvaguardas compatíveis com o Capítulo V da LGPD.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Responsabilidade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Cada parte responde por suas obrigações na forma da LGPD e do contrato principal. A parte que der causa a dano a titular ou a sanção da ANPD ressarcirá a outra na proporção de sua culpa, observados os limites do contrato principal.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Disposições gerais e foro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DPA prevalece sobre o contrato principal em matéria de proteção de dados. Fica eleito o foro da Comarca de [___________] para dirimir controvérsias.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Pela Controladora (Instituição)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/ Cargo: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Pela Operadora (RRB Trading Ltda.)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/ Cargo: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Anexo I — Descrição do Tratamento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 de titulares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Categorias de dados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nascimento, documentos, matrícula, turma, frequência, avaliações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 acadêmica e escolar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Responsáveis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contatos, telefone, dados de cobrança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Comunicação e financeiro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Alunos (portaria)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Biometria facial (template), foto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acesso, quando habilitado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cadastrais e funcionais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 de RH/folha, quando contratado</w:t>
            </w:r>
          </w:p>
        </w:tc>
      </w:tr>
    </w:tbl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Anexo II — Medidas de Segurança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Controle de acesso por perfil e autenticação individual;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Criptografia de senhas (hash) e tráfego por HTTPS/TLS;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Verificação de assinatura em webhooks e registros de auditoria/log;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Segregação lógica de dados por instituição;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Backups e controle de retenção; minimização de dados sensíveis.</w:t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Anexo III — Suboperadores Autorizados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Suboperador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Serviço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de processamento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Mensageria WhatsApp Business Platform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Exterior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e pagamentos (boleto/PIX)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dados, autenticação e arquivos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Exterior/Brasil (conforme região)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E-mails transacionais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Exterior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Hostinger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Hospedagem da aplicação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Exterior/Brasil (conforme plano)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Confirme o local de processamento de cada suboperador conforme a configuração contratada antes de finalizar.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RRB Trading Ltda. — CNPJ 60.347.383/0001-09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2026-07-01T15:07:41.366Z</dcterms:created>
  <dcterms:modified xsi:type="dcterms:W3CDTF">2026-07-01T15:07:41.366Z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