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1FD">
      <w:pPr>
        <w:pStyle w:val="Heading2"/>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bookmarkStart w:colFirst="0" w:colLast="0" w:name="_nyy383q7iept" w:id="103"/>
      <w:bookmarkEnd w:id="103"/>
      <w:r w:rsidDel="00000000" w:rsidR="00000000" w:rsidRPr="00000000">
        <w:rPr>
          <w:b w:val="1"/>
          <w:bCs w:val="1"/>
          <w:rtl w:val="0"/>
        </w:rPr>
        <w:t xml:space="preserve">¿QUÉ PRINCIPIOS Y TEORÍAS FUNDAMENTAN MUCHAS FORMAS DE SER (MFS)?</w:t>
      </w:r>
      <w:r w:rsidDel="00000000" w:rsidR="00000000" w:rsidRPr="00000000">
        <w:rPr>
          <w:rtl w:val="0"/>
        </w:rPr>
        <w:tab/>
        <w:t xml:space="preserve"> </w:t>
      </w:r>
    </w:p>
    <w:p w:rsidR="00000000" w:rsidDel="00000000" w:rsidP="00000000" w:rsidRDefault="00000000" w:rsidRPr="00000000" w14:paraId="000001F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MFS se basa en tres principios rectores y cuatro teorías y enfoques conceptuales. La autoría del programa ha incorporado estos principios y teorías a lo largo de su desarrollo, incluyendo su modelo de implementación de educación en grupo, los temas de las sesiones y los métodos de instrucción. </w:t>
      </w:r>
    </w:p>
    <w:p w:rsidR="00000000" w:rsidDel="00000000" w:rsidP="00000000" w:rsidRDefault="00000000" w:rsidRPr="00000000" w14:paraId="000001F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280" w:line="240" w:lineRule="auto"/>
        <w:rPr>
          <w:rFonts w:ascii="Calibri" w:cs="Calibri" w:eastAsia="Calibri" w:hAnsi="Calibri"/>
          <w:i w:val="1"/>
          <w:iCs w:val="1"/>
          <w:sz w:val="24"/>
          <w:szCs w:val="24"/>
        </w:rPr>
      </w:pPr>
      <w:r w:rsidDel="00000000" w:rsidR="00000000" w:rsidRPr="00000000">
        <w:rPr>
          <w:rFonts w:ascii="Calibri" w:cs="Calibri" w:eastAsia="Calibri" w:hAnsi="Calibri"/>
          <w:b w:val="1"/>
          <w:bCs w:val="1"/>
          <w:sz w:val="24"/>
          <w:szCs w:val="24"/>
          <w:rtl w:val="0"/>
        </w:rPr>
        <w:t xml:space="preserve">Principios rectores</w:t>
      </w:r>
      <w:r w:rsidDel="00000000" w:rsidR="00000000" w:rsidRPr="00000000">
        <w:rPr>
          <w:rFonts w:ascii="Calibri" w:cs="Calibri" w:eastAsia="Calibri" w:hAnsi="Calibri"/>
          <w:i w:val="1"/>
          <w:iCs w:val="1"/>
          <w:sz w:val="24"/>
          <w:szCs w:val="24"/>
          <w:rtl w:val="0"/>
        </w:rPr>
        <w:t xml:space="preserve"> </w:t>
      </w:r>
    </w:p>
    <w:p w:rsidR="00000000" w:rsidDel="00000000" w:rsidP="00000000" w:rsidRDefault="00000000" w:rsidRPr="00000000" w14:paraId="0000020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280" w:line="240" w:lineRule="auto"/>
        <w:rPr>
          <w:rFonts w:ascii="Calibri" w:cs="Calibri" w:eastAsia="Calibri" w:hAnsi="Calibri"/>
          <w:i w:val="1"/>
          <w:iCs w:val="1"/>
          <w:sz w:val="24"/>
          <w:szCs w:val="24"/>
        </w:rPr>
      </w:pPr>
      <w:r w:rsidDel="00000000" w:rsidR="00000000" w:rsidRPr="00000000">
        <w:rPr>
          <w:rFonts w:ascii="Calibri" w:cs="Calibri" w:eastAsia="Calibri" w:hAnsi="Calibri"/>
          <w:sz w:val="24"/>
          <w:szCs w:val="24"/>
          <w:rtl w:val="0"/>
        </w:rPr>
        <w:t xml:space="preserve">Los principios del programa son los valores y creencias que la autoría utilizó para tomar decisiones importantes a lo largo del desarrollo del programa. Enfatizar la representación adolescente, la igualdad de género y el poder equilibrado en las relaciones, la diversidad sexual y de género, y la interseccionalidad, es el ingrediente clave de una intervención eficaz. Estos tres principios están integrados en el contenido, la metodología y el enfoque de MFS de diversas maneras, como lo indican las siguientes descripciones.</w:t>
      </w:r>
      <w:r w:rsidDel="00000000" w:rsidR="00000000" w:rsidRPr="00000000">
        <w:rPr>
          <w:rFonts w:ascii="Calibri" w:cs="Calibri" w:eastAsia="Calibri" w:hAnsi="Calibri"/>
          <w:i w:val="1"/>
          <w:iCs w:val="1"/>
          <w:sz w:val="24"/>
          <w:szCs w:val="24"/>
          <w:rtl w:val="0"/>
        </w:rPr>
        <w:t xml:space="preserve"> </w:t>
      </w:r>
    </w:p>
    <w:p w:rsidR="00000000" w:rsidDel="00000000" w:rsidP="00000000" w:rsidRDefault="00000000" w:rsidRPr="00000000" w14:paraId="00000201">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280" w:line="240"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u w:val="single"/>
          <w:rtl w:val="0"/>
        </w:rPr>
        <w:t xml:space="preserve">Principio 1: La población adolescente es capaz de tomar decisiones.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02">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u w:val="single"/>
          <w:rtl w:val="0"/>
        </w:rPr>
        <w:t xml:space="preserve">Cada adolescente</w:t>
      </w:r>
      <w:r w:rsidDel="00000000" w:rsidR="00000000" w:rsidRPr="00000000">
        <w:rPr>
          <w:rFonts w:ascii="Calibri" w:cs="Calibri" w:eastAsia="Calibri" w:hAnsi="Calibri"/>
          <w:sz w:val="24"/>
          <w:szCs w:val="24"/>
          <w:rtl w:val="0"/>
        </w:rPr>
        <w:t xml:space="preserve"> puede y debe tomar sus propias decisiones. Esto incluye cosas pequeñas, como limpiar sus habitaciones, y decisiones más importantes como si quieren tener relaciones sexuales y cuándo quieren tener una relación comprometida. Es importante que la juventud experimente autonomía y agencia personal para que aprendan de esas experiencias y sean capaces de tomar mejores decisiones como jóvenes adultos. Pero esto conlleva una gran responsabilidad, y corresponde a educadores, padres y madres y proveedores de servicios asegurarse de que tengan el conocimiento, habilidades y autoeficacia necesarios para tomar decisiones informadas sobre sus comportamientos. MFS está diseñado para hacer precisamente eso. Esto es evidente en la Sesión 6, en la cual incluimos una sesión de SSR </w:t>
      </w:r>
      <w:hyperlink r:id="rId72">
        <w:r w:rsidDel="00000000" w:rsidR="00000000" w:rsidRPr="00000000">
          <w:rPr>
            <w:rFonts w:ascii="Calibri" w:cs="Calibri" w:eastAsia="Calibri" w:hAnsi="Calibri"/>
            <w:color w:val="0000ff"/>
            <w:sz w:val="24"/>
            <w:szCs w:val="24"/>
            <w:u w:val="single"/>
            <w:rtl w:val="0"/>
          </w:rPr>
          <w:t xml:space="preserve">positiva en cuanto al sexo</w:t>
        </w:r>
      </w:hyperlink>
      <w:r w:rsidDel="00000000" w:rsidR="00000000" w:rsidRPr="00000000">
        <w:rPr>
          <w:rFonts w:ascii="Calibri" w:cs="Calibri" w:eastAsia="Calibri" w:hAnsi="Calibri"/>
          <w:sz w:val="24"/>
          <w:szCs w:val="24"/>
          <w:rtl w:val="0"/>
        </w:rPr>
        <w:t xml:space="preserve">. Al ser positiva en cuanto al sexo, MFS no desalienta por completo la actividad sexual, sino que garantiza que la juventud sea consciente de los riesgos asociados con ciertos comportamientos sexuales. Equipa a quienes participan en el proyecto con conocimiento y habilidades para reducir estos riesgos y participar en relaciones sexuales cuando decidan hacerlo, si lo deciden, de manera consensuada, placentera, responsable, saludable y no violenta. </w:t>
      </w:r>
    </w:p>
    <w:p w:rsidR="00000000" w:rsidDel="00000000" w:rsidP="00000000" w:rsidRDefault="00000000" w:rsidRPr="00000000" w14:paraId="00000203">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u w:val="single"/>
          <w:rtl w:val="0"/>
        </w:rPr>
        <w:t xml:space="preserve">Principio 2: La equidad de género y la diversidad son un catalizador para la empatía y la comprensión.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04">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 importante que aborden temas, incluyendo las relaciones y la salud sexual, en entornos en los que se celebra la diversidad de </w:t>
      </w:r>
      <w:hyperlink r:id="rId73">
        <w:r w:rsidDel="00000000" w:rsidR="00000000" w:rsidRPr="00000000">
          <w:rPr>
            <w:rFonts w:ascii="Calibri" w:cs="Calibri" w:eastAsia="Calibri" w:hAnsi="Calibri"/>
            <w:color w:val="0000ff"/>
            <w:sz w:val="24"/>
            <w:szCs w:val="24"/>
            <w:u w:val="single"/>
            <w:rtl w:val="0"/>
          </w:rPr>
          <w:t xml:space="preserve">género y la orientación sexual</w:t>
        </w:r>
      </w:hyperlink>
      <w:r w:rsidDel="00000000" w:rsidR="00000000" w:rsidRPr="00000000">
        <w:rPr>
          <w:rFonts w:ascii="Calibri" w:cs="Calibri" w:eastAsia="Calibri" w:hAnsi="Calibri"/>
          <w:sz w:val="24"/>
          <w:szCs w:val="24"/>
          <w:rtl w:val="0"/>
        </w:rPr>
        <w:t xml:space="preserve">. Cuando están expuestos a la diversidad, pueden comprender y apreciar mejor las diferentes opiniones y estilos de vida. La diversidad sexual y de género en MFS es crucial para los objetivos del programa, cuya meta es fomentar actitudes equitativas de género y fomentar relaciones saludables y consensuadas con personas que tienen una variedad de identidades. Este principio es parte integral del modelo de implementación sincrónica de género, que fomenta la combinación de géneros a la hora de integrar los grupos de MFS. Este modelo brinda la oportunidad para que desarrollen habilidades que promuevan la comunicación positiva, la empatía y una visión compartida de relaciones saludables, equitativas y afectuosas. Además, MFS modela el respeto y la empatía, al tratar a todos como iguales y con derecho a ser vistos, valorados, respetados y tratados con dignidad. La diversidad sexual y de género se refleja en el contenido de las lecciones y las historias de MFS, y la autoría constantemente fue más allá de las relaciones binarias y heteronormativas de género, lo que permitió la exploración y participación en todos los elementos de la sexualidad. </w:t>
      </w:r>
    </w:p>
    <w:p w:rsidR="00000000" w:rsidDel="00000000" w:rsidP="00000000" w:rsidRDefault="00000000" w:rsidRPr="00000000" w14:paraId="00000205">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u w:val="single"/>
          <w:rtl w:val="0"/>
        </w:rPr>
        <w:t xml:space="preserve">Principio 3: La representación interseccional es necesaria para la participación y el aprendizaje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06">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juventud merece reconocimiento y apreciación por sus experiencias vividas e identidades </w:t>
      </w:r>
      <w:hyperlink r:id="rId74">
        <w:r w:rsidDel="00000000" w:rsidR="00000000" w:rsidRPr="00000000">
          <w:rPr>
            <w:rFonts w:ascii="Calibri" w:cs="Calibri" w:eastAsia="Calibri" w:hAnsi="Calibri"/>
            <w:color w:val="0000ff"/>
            <w:sz w:val="24"/>
            <w:szCs w:val="24"/>
            <w:u w:val="single"/>
            <w:rtl w:val="0"/>
          </w:rPr>
          <w:t xml:space="preserve">interseccionales</w:t>
        </w:r>
      </w:hyperlink>
      <w:r w:rsidDel="00000000" w:rsidR="00000000" w:rsidRPr="00000000">
        <w:rPr>
          <w:rFonts w:ascii="Calibri" w:cs="Calibri" w:eastAsia="Calibri" w:hAnsi="Calibri"/>
          <w:sz w:val="24"/>
          <w:szCs w:val="24"/>
          <w:rtl w:val="0"/>
        </w:rPr>
        <w:t xml:space="preserve"> reflejadas en los temas del programa. También es importante que puedan identificarse con el contenido de MFS porque les ayuda a digerirlo mejor y aplicar las lecciones de manera más tangible a su vida diaria.</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rtl w:val="0"/>
        </w:rPr>
        <w:t xml:space="preserve">A medida que exploran sus múltiples identidades y definen sus perspectivas individuales, es importante que los planes de estudios incluyan historias y lecciones que demuestren que se les da valor. MFS no solo integra múltiples identidades (raza, género, orientación sexual, riqueza, etc.) y experiencias a lo largo de las sesiones, sino que también explora explícitamente la identidad y la interseccionalidad en la Sesión 2. La autoría adapta los recursos e historias referenciales a jóvenes </w:t>
      </w:r>
      <w:r w:rsidDel="00000000" w:rsidR="00000000" w:rsidRPr="00000000">
        <w:rPr>
          <w:rFonts w:ascii="Calibri" w:cs="Calibri" w:eastAsia="Calibri" w:hAnsi="Calibri"/>
          <w:color w:val="d13438"/>
          <w:sz w:val="24"/>
          <w:szCs w:val="24"/>
          <w:u w:val="single"/>
          <w:rtl w:val="0"/>
        </w:rPr>
        <w:t xml:space="preserve">afroamericanos, latinos, indígenas, entre otros </w:t>
      </w:r>
      <w:r w:rsidDel="00000000" w:rsidR="00000000" w:rsidRPr="00000000">
        <w:rPr>
          <w:rFonts w:ascii="Calibri" w:cs="Calibri" w:eastAsia="Calibri" w:hAnsi="Calibri"/>
          <w:strike w:val="1"/>
          <w:color w:val="d13438"/>
          <w:sz w:val="24"/>
          <w:szCs w:val="24"/>
          <w:rtl w:val="0"/>
        </w:rPr>
        <w:t xml:space="preserve">de color </w:t>
      </w:r>
      <w:r w:rsidDel="00000000" w:rsidR="00000000" w:rsidRPr="00000000">
        <w:rPr>
          <w:rFonts w:ascii="Calibri" w:cs="Calibri" w:eastAsia="Calibri" w:hAnsi="Calibri"/>
          <w:sz w:val="24"/>
          <w:szCs w:val="24"/>
          <w:rtl w:val="0"/>
        </w:rPr>
        <w:t xml:space="preserve">en Washington D.C. </w:t>
      </w:r>
    </w:p>
    <w:p w:rsidR="00000000" w:rsidDel="00000000" w:rsidP="00000000" w:rsidRDefault="00000000" w:rsidRPr="00000000" w14:paraId="00000207">
      <w:pPr>
        <w:pStyle w:val="Heading3"/>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280" w:line="240" w:lineRule="auto"/>
        <w:rPr>
          <w:i w:val="1"/>
          <w:iCs w:val="1"/>
        </w:rPr>
      </w:pPr>
      <w:bookmarkStart w:colFirst="0" w:colLast="0" w:name="_575mwvpak7ue" w:id="104"/>
      <w:bookmarkEnd w:id="104"/>
      <w:r w:rsidDel="00000000" w:rsidR="00000000" w:rsidRPr="00000000">
        <w:rPr>
          <w:b w:val="1"/>
          <w:bCs w:val="1"/>
          <w:rtl w:val="0"/>
        </w:rPr>
        <w:t xml:space="preserve">Teorías y enfoques conceptuales</w:t>
      </w:r>
      <w:r w:rsidDel="00000000" w:rsidR="00000000" w:rsidRPr="00000000">
        <w:rPr>
          <w:i w:val="1"/>
          <w:iCs w:val="1"/>
          <w:rtl w:val="0"/>
        </w:rPr>
        <w:t xml:space="preserve"> </w:t>
      </w:r>
    </w:p>
    <w:p w:rsidR="00000000" w:rsidDel="00000000" w:rsidP="00000000" w:rsidRDefault="00000000" w:rsidRPr="00000000" w14:paraId="0000020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280" w:line="240" w:lineRule="auto"/>
        <w:rPr>
          <w:rFonts w:ascii="Calibri" w:cs="Calibri" w:eastAsia="Calibri" w:hAnsi="Calibri"/>
          <w:i w:val="1"/>
          <w:iCs w:val="1"/>
          <w:sz w:val="24"/>
          <w:szCs w:val="24"/>
        </w:rPr>
      </w:pPr>
      <w:r w:rsidDel="00000000" w:rsidR="00000000" w:rsidRPr="00000000">
        <w:rPr>
          <w:rFonts w:ascii="Calibri" w:cs="Calibri" w:eastAsia="Calibri" w:hAnsi="Calibri"/>
          <w:sz w:val="24"/>
          <w:szCs w:val="24"/>
          <w:rtl w:val="0"/>
        </w:rPr>
        <w:t xml:space="preserve">Las siguientes teorías conceptuales sentaron la base de la teoría de cambio de MFS, y son herramientas útiles para fundamentar las sesiones del programa en la literatura y el pensamiento de las ciencias sociales. Estas están unidas por dos enfoques fundamentales que son esenciales para el estilo y espíritu del programa y se han integrado completamente en las metodologías del programa.</w:t>
      </w:r>
      <w:r w:rsidDel="00000000" w:rsidR="00000000" w:rsidRPr="00000000">
        <w:rPr>
          <w:rFonts w:ascii="Calibri" w:cs="Calibri" w:eastAsia="Calibri" w:hAnsi="Calibri"/>
          <w:i w:val="1"/>
          <w:iCs w:val="1"/>
          <w:sz w:val="24"/>
          <w:szCs w:val="24"/>
          <w:rtl w:val="0"/>
        </w:rPr>
        <w:t xml:space="preserve"> </w:t>
      </w:r>
    </w:p>
    <w:p w:rsidR="00000000" w:rsidDel="00000000" w:rsidP="00000000" w:rsidRDefault="00000000" w:rsidRPr="00000000" w14:paraId="00000209">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280" w:line="240"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u w:val="single"/>
          <w:rtl w:val="0"/>
        </w:rPr>
        <w:t xml:space="preserve">Teoría 1: Teoría Cognitiva Social (TCS)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0A">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psicólogo Albert Bandura propuso la TCS en su libro de 1986 “Fundamentos sociales del pensamiento y la acción”, que plantea que las personas adquieren un nuevo comportamiento al observar a otros realizando ese comportamiento. Más específicamente, la TCS dice que las personas adquieren un comportamiento debido a las relaciones recíprocas entre tres factores principales: cognitivo, conductual y ambiental. Según Bandura, los factores cognitivos incluyen conocimientos, expectativas y actitudes; los factores conductuales incluyen habilidades, costumbres y autoeficacia; y los factores ambientales incluyen normas sociales, acceso a comunidades e influencias de otros. El modelo lógico de MFS se basa en gran medida en cambiar estos tres factores para cumplir con los objetivos de la intervención. El </w:t>
      </w:r>
      <w:r w:rsidDel="00000000" w:rsidR="00000000" w:rsidRPr="00000000">
        <w:rPr>
          <w:rFonts w:ascii="Calibri" w:cs="Calibri" w:eastAsia="Calibri" w:hAnsi="Calibri"/>
          <w:strike w:val="1"/>
          <w:color w:val="d13438"/>
          <w:sz w:val="24"/>
          <w:szCs w:val="24"/>
          <w:rtl w:val="0"/>
        </w:rPr>
        <w:t xml:space="preserve">currículo </w:t>
      </w:r>
      <w:r w:rsidDel="00000000" w:rsidR="00000000" w:rsidRPr="00000000">
        <w:rPr>
          <w:rFonts w:ascii="Calibri" w:cs="Calibri" w:eastAsia="Calibri" w:hAnsi="Calibri"/>
          <w:color w:val="d13438"/>
          <w:sz w:val="24"/>
          <w:szCs w:val="24"/>
          <w:u w:val="single"/>
          <w:rtl w:val="0"/>
        </w:rPr>
        <w:t xml:space="preserve">plan de estudios </w:t>
      </w:r>
      <w:r w:rsidDel="00000000" w:rsidR="00000000" w:rsidRPr="00000000">
        <w:rPr>
          <w:rFonts w:ascii="Calibri" w:cs="Calibri" w:eastAsia="Calibri" w:hAnsi="Calibri"/>
          <w:sz w:val="24"/>
          <w:szCs w:val="24"/>
          <w:rtl w:val="0"/>
        </w:rPr>
        <w:t xml:space="preserve">está diseñado para abordar conocimientos, actitudes, normas y comportamientos dentro de cada tema tratado. Por ejemplo, MFS cubre información sobre los condones y por qué son importantes, aborda las influencias del entorno (acceso, aceptabilidad, disponibilidad) y demuestra la habilidad de cómo usarlos correctamente. Estos tres factores interactúan de manera que se refuerzan mutuamente para quienes participan. </w:t>
      </w:r>
    </w:p>
    <w:p w:rsidR="00000000" w:rsidDel="00000000" w:rsidP="00000000" w:rsidRDefault="00000000" w:rsidRPr="00000000" w14:paraId="0000020B">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u w:val="single"/>
          <w:rtl w:val="0"/>
        </w:rPr>
        <w:t xml:space="preserve">Teoría 2: Teoría de género y poder</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0C">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1987, la socióloga R. W. Connell propuso la teoría de género y poder. La teoría postula que tres estructuras sociales interdependientes caracterizan las relaciones de género entre hombres y mujeres: la división sexual del trabajo, la división sexual del poder y la construcción social del deseo sexual (catexis).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libri" w:cs="Calibri" w:eastAsia="Calibri" w:hAnsi="Calibri"/>
          <w:sz w:val="24"/>
          <w:szCs w:val="24"/>
          <w:rtl w:val="0"/>
        </w:rPr>
        <w:t xml:space="preserve">Estas estructuras tienen sus raíces en múltiples fuerzas históricas, sociales y políticas que trabajan juntas para segregar el poder de manera desigual entre mujeres y hombres, donde los últimos en su mayoría tienen la ventaja. Abordar las normas de género dañinas y los desequilibrios de poder es un aspecto central de MFS.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libri" w:cs="Calibri" w:eastAsia="Calibri" w:hAnsi="Calibri"/>
          <w:sz w:val="24"/>
          <w:szCs w:val="24"/>
          <w:rtl w:val="0"/>
        </w:rPr>
        <w:t xml:space="preserve">En particular, la Sesión 4 se enfoca en las relaciones saludables y no saludables, y en la probabilidad de violencia si existen tanto dinámicas de poder desiguales como normas de género inequitativas. Esta teoría continúa siendo prominente a lo largo de las sesiones que discuten estrategias de comunicación sobre temas de SSR. </w:t>
      </w:r>
    </w:p>
    <w:p w:rsidR="00000000" w:rsidDel="00000000" w:rsidP="00000000" w:rsidRDefault="00000000" w:rsidRPr="00000000" w14:paraId="0000020D">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u w:val="single"/>
          <w:rtl w:val="0"/>
        </w:rPr>
        <w:t xml:space="preserve">Enfoque 1: Enfoque transformador de género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0E">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término </w:t>
      </w:r>
      <w:hyperlink r:id="rId75">
        <w:r w:rsidDel="00000000" w:rsidR="00000000" w:rsidRPr="00000000">
          <w:rPr>
            <w:rFonts w:ascii="Calibri" w:cs="Calibri" w:eastAsia="Calibri" w:hAnsi="Calibri"/>
            <w:color w:val="0000ff"/>
            <w:sz w:val="24"/>
            <w:szCs w:val="24"/>
            <w:u w:val="single"/>
            <w:rtl w:val="0"/>
          </w:rPr>
          <w:t xml:space="preserve">“enfoque transformador de género”</w:t>
        </w:r>
      </w:hyperlink>
      <w:r w:rsidDel="00000000" w:rsidR="00000000" w:rsidRPr="00000000">
        <w:rPr>
          <w:rFonts w:ascii="Calibri" w:cs="Calibri" w:eastAsia="Calibri" w:hAnsi="Calibri"/>
          <w:sz w:val="24"/>
          <w:szCs w:val="24"/>
          <w:rtl w:val="0"/>
        </w:rPr>
        <w:t xml:space="preserve"> fue acuñado originalmente por Geeta Rao Gupta en 2000, y tiene como objetivo transformar los roles, normas y relaciones de poder de género para crear resultados más equitativos, al fomentar roles constructivos para hombres, mujeres y personas de otros géneros en términos de igualdad de género y SDSR. Es importante que en la adolescencia experimentan este enfoque, que fomenta la reflexión crítica para informar sus propias opiniones sobre cómo podría ser un mundo equitativo en cuanto al género. MFS está diseñado para hacer precisamente eso. A lo largo de las sesiones, los métodos de facilitación permiten la reflexión individual y colectiva, incluyendo preguntas de debate y juegos de rol, entre otros. Este enfoque afecta también al contenido incluido en MFS. Por ejemplo, en las conversaciones de la Sesión 5 sobre pornografía y redes sociales, las actividades involucran intencionalmente a quienes participan en la identificación de normas de género dañinas e inequitativas que operan en su comunidad y en la exploración de los beneficios de un conjunto de normas de género más equitativo y de sus comportamientos asociados. </w:t>
      </w:r>
    </w:p>
    <w:p w:rsidR="00000000" w:rsidDel="00000000" w:rsidP="00000000" w:rsidRDefault="00000000" w:rsidRPr="00000000" w14:paraId="0000020F">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Enfoque 2: Pedagogía del oprimido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1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su libro de 1968 “Pedagogía del oprimido”, Paulo Freire describe un enfoque para trabajar con personas oprimidas y postula que la clave para la liberación es despertar el pensamiento crítico y la conciencia en el individuo. Dado que las normas de género son el núcleo de MFS, el concepto de concientización de Freire –el proceso de desarrollar una conciencia crítica de la propia realidad social a través de la reflexión y la acción– es particularmente relevante. Freire dice que todos adquirimos mitos sociales (por ejemplo, normas de género, normas sobre la violencia) que tienen una tendencia dominante, por lo que el aprendizaje debe ser un proceso crítico que depende del descubrimiento de problemas y necesidades reales. De acuerdo con este enfoque, MFS involucra activamente a quienes participan en la reflexión crítica a través del diálogo, el análisis y la resolución de problemas. </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