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480"/>
              <w:bottom w:type="dxa" w:w="400"/>
              <w:right w:type="dxa" w:w="480"/>
            </w:tcMar>
          </w:tcPr>
          <w:p>
            <w:pPr>
              <w:spacing w:after="80" w:before="0"/>
              <w:jc w:val="left"/>
            </w:pPr>
            <w:r>
              <w:rPr>
                <w:rFonts w:ascii="Arial" w:cs="Arial" w:eastAsia="Arial" w:hAnsi="Arial"/>
                <w:b/>
                <w:bCs/>
                <w:caps/>
                <w:color w:val="8BB8E8"/>
                <w:sz w:val="20"/>
                <w:szCs w:val="20"/>
              </w:rPr>
              <w:t xml:space="preserve">CATERING AUTOMATION PLATFORM</w:t>
            </w:r>
          </w:p>
          <w:p>
            <w:pPr>
              <w:spacing w:after="100" w:before="0"/>
              <w:jc w:val="left"/>
            </w:pPr>
            <w:r>
              <w:rPr>
                <w:rFonts w:ascii="Arial" w:cs="Arial" w:eastAsia="Arial" w:hAnsi="Arial"/>
                <w:b/>
                <w:bCs/>
                <w:color w:val="FFFFFF"/>
                <w:sz w:val="40"/>
                <w:szCs w:val="40"/>
              </w:rPr>
              <w:t xml:space="preserve">Subscription Stack Capability Reference</w:t>
            </w:r>
          </w:p>
          <w:p>
            <w:pPr>
              <w:jc w:val="left"/>
            </w:pPr>
            <w:r>
              <w:rPr>
                <w:rFonts w:ascii="Arial" w:cs="Arial" w:eastAsia="Arial" w:hAnsi="Arial"/>
                <w:i/>
                <w:iCs/>
                <w:color w:val="AAC8E8"/>
                <w:sz w:val="20"/>
                <w:szCs w:val="20"/>
              </w:rPr>
              <w:t xml:space="preserve">What we can build with what we have  —  Cursor Pro · Claude Pro · GPT Plus · Google Cloud</w:t>
            </w:r>
          </w:p>
        </w:tc>
      </w:tr>
    </w:tbl>
    <w:p>
      <w:pPr>
        <w:spacing w:after="0" w:before="40"/>
      </w:pPr>
      <w:r>
        <w:t xml:space="preserve"/>
      </w:r>
    </w:p>
    <w:p>
      <w:pPr>
        <w:spacing w:after="0" w:before="80"/>
      </w:pPr>
      <w:r>
        <w:t xml:space="preserve"/>
      </w:r>
    </w:p>
    <w:p>
      <w:pPr>
        <w:pStyle w:val="Heading1"/>
        <w:pBdr>
          <w:bottom w:val="single" w:color="2E5F9A" w:sz="8" w:space="6"/>
        </w:pBdr>
        <w:spacing w:after="160" w:before="360"/>
      </w:pPr>
      <w:r>
        <w:rPr>
          <w:rFonts w:ascii="Arial" w:cs="Arial" w:eastAsia="Arial" w:hAnsi="Arial"/>
          <w:b/>
          <w:bCs/>
          <w:color w:val="1B2A4A"/>
          <w:sz w:val="36"/>
          <w:szCs w:val="36"/>
        </w:rPr>
        <w:t xml:space="preserve">1. Executive Summary</w:t>
      </w:r>
    </w:p>
    <w:p>
      <w:pPr>
        <w:spacing w:after="80" w:before="80"/>
      </w:pPr>
      <w:r>
        <w:rPr>
          <w:rFonts w:ascii="Arial" w:cs="Arial" w:eastAsia="Arial" w:hAnsi="Arial"/>
          <w:color w:val="444444"/>
          <w:sz w:val="22"/>
          <w:szCs w:val="22"/>
        </w:rPr>
        <w:t xml:space="preserve">This document aggregates findings from four deep research reports into a single operational reference: what the current subscription stack can actually build, where the hard limits are, and how the layers connect into a working automation platform for a catering operation.</w:t>
      </w:r>
    </w:p>
    <w:p>
      <w:pPr>
        <w:spacing w:after="0" w:before="80"/>
      </w:pPr>
      <w:r>
        <w:t xml:space="preserve"/>
      </w:r>
    </w:p>
    <w:p>
      <w:pPr>
        <w:spacing w:after="80" w:before="80"/>
      </w:pPr>
      <w:r>
        <w:rPr>
          <w:rFonts w:ascii="Arial" w:cs="Arial" w:eastAsia="Arial" w:hAnsi="Arial"/>
          <w:color w:val="444444"/>
          <w:sz w:val="22"/>
          <w:szCs w:val="22"/>
        </w:rPr>
        <w:t xml:space="preserve">The stack covers four distinct capability layers. No single subscription does everything — but together they form a coherent system where each tool plays to its strengths.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00"/>
            </w:tcMar>
          </w:tcPr>
          <w:p>
            <w:r>
              <w:rPr>
                <w:rFonts w:ascii="Arial" w:cs="Arial" w:eastAsia="Arial" w:hAnsi="Arial"/>
                <w:b/>
                <w:bCs/>
                <w:color w:val="FFFFFF"/>
                <w:sz w:val="22"/>
                <w:szCs w:val="22"/>
              </w:rPr>
              <w:t xml:space="preserve">Layer</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00"/>
            </w:tcMar>
          </w:tcPr>
          <w:p>
            <w:r>
              <w:rPr>
                <w:rFonts w:ascii="Arial" w:cs="Arial" w:eastAsia="Arial" w:hAnsi="Arial"/>
                <w:b/>
                <w:bCs/>
                <w:color w:val="FFFFFF"/>
                <w:sz w:val="22"/>
                <w:szCs w:val="22"/>
              </w:rPr>
              <w:t xml:space="preserve">Tool</w:t>
            </w:r>
          </w:p>
        </w:tc>
        <w:tc>
          <w:tcPr>
            <w:tcW w:type="dxa" w:w="2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00"/>
            </w:tcMar>
          </w:tcPr>
          <w:p>
            <w:r>
              <w:rPr>
                <w:rFonts w:ascii="Arial" w:cs="Arial" w:eastAsia="Arial" w:hAnsi="Arial"/>
                <w:b/>
                <w:bCs/>
                <w:color w:val="FFFFFF"/>
                <w:sz w:val="22"/>
                <w:szCs w:val="22"/>
              </w:rPr>
              <w:t xml:space="preserve">Primary Role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00"/>
            </w:tcMar>
          </w:tcPr>
          <w:p>
            <w:r>
              <w:rPr>
                <w:rFonts w:ascii="Arial" w:cs="Arial" w:eastAsia="Arial" w:hAnsi="Arial"/>
                <w:b/>
                <w:bCs/>
                <w:color w:val="FFFFFF"/>
                <w:sz w:val="22"/>
                <w:szCs w:val="22"/>
              </w:rPr>
              <w:t xml:space="preserve">Key Constraint</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00"/>
            </w:tcMar>
          </w:tcPr>
          <w:p>
            <w:r>
              <w:rPr>
                <w:rFonts w:ascii="Arial" w:cs="Arial" w:eastAsia="Arial" w:hAnsi="Arial"/>
                <w:color w:val="111111"/>
                <w:sz w:val="20"/>
                <w:szCs w:val="20"/>
              </w:rPr>
              <w:t xml:space="preserve">Orchestration</w:t>
            </w:r>
          </w:p>
        </w:tc>
        <w:tc>
          <w:tcPr>
            <w:tcW w:type="dxa" w:w="24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00"/>
            </w:tcMar>
          </w:tcPr>
          <w:p>
            <w:r>
              <w:rPr>
                <w:rFonts w:ascii="Arial" w:cs="Arial" w:eastAsia="Arial" w:hAnsi="Arial"/>
                <w:color w:val="111111"/>
                <w:sz w:val="20"/>
                <w:szCs w:val="20"/>
              </w:rPr>
              <w:t xml:space="preserve">Cursor Pro</w:t>
            </w:r>
          </w:p>
        </w:tc>
        <w:tc>
          <w:tcPr>
            <w:tcW w:type="dxa" w:w="25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00"/>
            </w:tcMar>
          </w:tcPr>
          <w:p>
            <w:r>
              <w:rPr>
                <w:rFonts w:ascii="Arial" w:cs="Arial" w:eastAsia="Arial" w:hAnsi="Arial"/>
                <w:color w:val="111111"/>
                <w:sz w:val="20"/>
                <w:szCs w:val="20"/>
              </w:rPr>
              <w:t xml:space="preserve">Build environment + FTO. Scaffolds all Cloud Run services, Workflows, and integrations. Agent-drives the codebase.</w:t>
            </w:r>
          </w:p>
        </w:tc>
        <w:tc>
          <w:tcPr>
            <w:tcW w:type="dxa" w:w="24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00"/>
            </w:tcMar>
          </w:tcPr>
          <w:p>
            <w:r>
              <w:rPr>
                <w:rFonts w:ascii="Arial" w:cs="Arial" w:eastAsia="Arial" w:hAnsi="Arial"/>
                <w:color w:val="111111"/>
                <w:sz w:val="20"/>
                <w:szCs w:val="20"/>
              </w:rPr>
              <w:t xml:space="preserve">API-priced model pool (~$20/mo); stay in Auto/Composer for heavy work.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Runtime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Google Cloud</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Event-driven backend: Cloud Run, Pub/Sub, Firestore, Workflows, Scheduler, Tasks. The actual deployed service.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$300 free trial (90 days); $0–75/mo steady-state serverless-first.</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00"/>
            </w:tcMar>
          </w:tcPr>
          <w:p>
            <w:r>
              <w:rPr>
                <w:rFonts w:ascii="Arial" w:cs="Arial" w:eastAsia="Arial" w:hAnsi="Arial"/>
                <w:color w:val="111111"/>
                <w:sz w:val="20"/>
                <w:szCs w:val="20"/>
              </w:rPr>
              <w:t xml:space="preserve">Intelligence / Copilot</w:t>
            </w:r>
          </w:p>
        </w:tc>
        <w:tc>
          <w:tcPr>
            <w:tcW w:type="dxa" w:w="24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00"/>
            </w:tcMar>
          </w:tcPr>
          <w:p>
            <w:r>
              <w:rPr>
                <w:rFonts w:ascii="Arial" w:cs="Arial" w:eastAsia="Arial" w:hAnsi="Arial"/>
                <w:color w:val="111111"/>
                <w:sz w:val="20"/>
                <w:szCs w:val="20"/>
              </w:rPr>
              <w:t xml:space="preserve">Claude Pro</w:t>
            </w:r>
          </w:p>
        </w:tc>
        <w:tc>
          <w:tcPr>
            <w:tcW w:type="dxa" w:w="25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00"/>
            </w:tcMar>
          </w:tcPr>
          <w:p>
            <w:r>
              <w:rPr>
                <w:rFonts w:ascii="Arial" w:cs="Arial" w:eastAsia="Arial" w:hAnsi="Arial"/>
                <w:color w:val="111111"/>
                <w:sz w:val="20"/>
                <w:szCs w:val="20"/>
              </w:rPr>
              <w:t xml:space="preserve">Operational brain. Projects for Sales/Ops/Finance/Partners. Scheduled sweeps via Cowork. Human-in-loop judgment layer.</w:t>
            </w:r>
          </w:p>
        </w:tc>
        <w:tc>
          <w:tcPr>
            <w:tcW w:type="dxa" w:w="24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00"/>
            </w:tcMar>
          </w:tcPr>
          <w:p>
            <w:r>
              <w:rPr>
                <w:rFonts w:ascii="Arial" w:cs="Arial" w:eastAsia="Arial" w:hAnsi="Arial"/>
                <w:color w:val="111111"/>
                <w:sz w:val="20"/>
                <w:szCs w:val="20"/>
              </w:rPr>
              <w:t xml:space="preserve">Session/5-hr resets; no API included; connector writes need approval.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STEM Execution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GPT Plus + Codex</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High-volume technical work via Openclaw. Programmatic token throughput via OAuth — not UI-capped.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111111"/>
                <w:sz w:val="20"/>
                <w:szCs w:val="20"/>
              </w:rPr>
              <w:t xml:space="preserve">UI agent mode (deep research) is capped; API throughput is the real ceiling.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F9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 INSIGHT</w:t>
            </w:r>
          </w:p>
        </w:tc>
        <w:tc>
          <w:tcPr>
            <w:tcW w:type="dxa" w:w="8160"/>
            <w:tcBorders>
              <w:top w:val="single" w:color="CCCCCC" w:sz="1"/>
              <w:left w:val="single" w:color="CCCCCC" w:sz="1"/>
              <w:bottom w:val="single" w:color="CCCCCC" w:sz="1"/>
              <w:right w:val="single" w:color="CCCCCC" w:sz="1"/>
            </w:tcBorders>
            <w:shd w:fill="D6E4F5" w:val="clear"/>
            <w:tcMar>
              <w:top w:type="dxa" w:w="120"/>
              <w:left w:type="dxa" w:w="200"/>
              <w:bottom w:type="dxa" w:w="120"/>
              <w:right w:type="dxa" w:w="160"/>
            </w:tcMar>
          </w:tcPr>
          <w:p>
            <w:r>
              <w:rPr>
                <w:rFonts w:ascii="Arial" w:cs="Arial" w:eastAsia="Arial" w:hAnsi="Arial"/>
                <w:color w:val="111111"/>
                <w:sz w:val="21"/>
                <w:szCs w:val="21"/>
              </w:rPr>
              <w:t xml:space="preserve">The critical distinction throughout: Cursor Pro is a build accelerator, not a runtime. Claude Pro is the judgment layer, not the transaction layer. GPT Plus (via Openclaw/OAuth) is a STEM workhorse with real token throughput — the 40 agent message cap applies only to deep research in the ChatGPT UI, not programmatic API usage. Google Cloud is the actual deployed backend.</w:t>
            </w:r>
          </w:p>
        </w:tc>
      </w:tr>
    </w:tbl>
    <w:p>
      <w:pPr>
        <w:spacing w:after="0" w:before="120"/>
      </w:pPr>
      <w:r>
        <w:t xml:space="preserve"/>
      </w:r>
    </w:p>
    <w:p>
      <w:r>
        <w:br w:type="page"/>
      </w:r>
    </w:p>
    <w:p>
      <w:pPr>
        <w:pStyle w:val="Heading1"/>
        <w:pBdr>
          <w:bottom w:val="single" w:color="2E5F9A" w:sz="8" w:space="6"/>
        </w:pBdr>
        <w:spacing w:after="160" w:before="360"/>
      </w:pPr>
      <w:r>
        <w:rPr>
          <w:rFonts w:ascii="Arial" w:cs="Arial" w:eastAsia="Arial" w:hAnsi="Arial"/>
          <w:b/>
          <w:bCs/>
          <w:color w:val="1B2A4A"/>
          <w:sz w:val="36"/>
          <w:szCs w:val="36"/>
        </w:rPr>
        <w:t xml:space="preserve">2. Google Cloud (GCC) — Runtime &amp; Infrastructure</w:t>
      </w:r>
    </w:p>
    <w:p>
      <w:pPr>
        <w:spacing w:after="80" w:before="80"/>
      </w:pPr>
      <w:r>
        <w:rPr>
          <w:rFonts w:ascii="Arial" w:cs="Arial" w:eastAsia="Arial" w:hAnsi="Arial"/>
          <w:color w:val="444444"/>
          <w:sz w:val="22"/>
          <w:szCs w:val="22"/>
        </w:rPr>
        <w:t xml:space="preserve">The runtime backbone. Everything that needs to run unattended, respond to real-time events, persist data, and scale lives here. The $300 free trial covers the build period; steady-state for a small/medium catering operation should land between $0–$75/month on a serverless-first architecture.</w:t>
      </w:r>
    </w:p>
    <w:p>
      <w:pPr>
        <w:spacing w:after="0" w:before="100"/>
      </w:pPr>
      <w:r>
        <w:t xml:space="preserve"/>
      </w:r>
    </w:p>
    <w:p>
      <w:pPr>
        <w:pStyle w:val="Heading2"/>
        <w:spacing w:after="120" w:before="280"/>
      </w:pPr>
      <w:r>
        <w:rPr>
          <w:rFonts w:ascii="Arial" w:cs="Arial" w:eastAsia="Arial" w:hAnsi="Arial"/>
          <w:b/>
          <w:bCs/>
          <w:color w:val="2E5F9A"/>
          <w:sz w:val="28"/>
          <w:szCs w:val="28"/>
        </w:rPr>
        <w:t xml:space="preserve">2.1 Core Architecture Pattern</w:t>
      </w:r>
    </w:p>
    <w:p>
      <w:pPr>
        <w:spacing w:after="80" w:before="80"/>
      </w:pPr>
      <w:r>
        <w:rPr>
          <w:rFonts w:ascii="Arial" w:cs="Arial" w:eastAsia="Arial" w:hAnsi="Arial"/>
          <w:color w:val="444444"/>
          <w:sz w:val="22"/>
          <w:szCs w:val="22"/>
        </w:rPr>
        <w:t xml:space="preserve">The right architecture is serverless-first and event-driven — matching catering's bursty workload (peak around events, quiet otherwise):</w:t>
      </w:r>
    </w:p>
    <w:p>
      <w:pPr>
        <w:spacing w:after="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Cloud Run — primary API server, webhook receiver, event handlers. Scales to zero between events.</w:t>
      </w:r>
    </w:p>
    <w:p>
      <w:pPr>
        <w:pStyle w:val="ListParagraph"/>
        <w:numPr>
          <w:ilvl w:val="0"/>
          <w:numId w:val="2"/>
        </w:numPr>
        <w:spacing w:after="60" w:before="60"/>
      </w:pPr>
      <w:r>
        <w:rPr>
          <w:rFonts w:ascii="Arial" w:cs="Arial" w:eastAsia="Arial" w:hAnsi="Arial"/>
          <w:color w:val="444444"/>
          <w:sz w:val="22"/>
          <w:szCs w:val="22"/>
        </w:rPr>
        <w:t xml:space="preserve">Firestore — operational system of record (events, orders, menus, staff, inventory).</w:t>
      </w:r>
    </w:p>
    <w:p>
      <w:pPr>
        <w:pStyle w:val="ListParagraph"/>
        <w:numPr>
          <w:ilvl w:val="0"/>
          <w:numId w:val="2"/>
        </w:numPr>
        <w:spacing w:after="60" w:before="60"/>
      </w:pPr>
      <w:r>
        <w:rPr>
          <w:rFonts w:ascii="Arial" w:cs="Arial" w:eastAsia="Arial" w:hAnsi="Arial"/>
          <w:color w:val="444444"/>
          <w:sz w:val="22"/>
          <w:szCs w:val="22"/>
        </w:rPr>
        <w:t xml:space="preserve">Pub/Sub — event bus decoupling all services (order.created, invoice.sent, inventory.low).</w:t>
      </w:r>
    </w:p>
    <w:p>
      <w:pPr>
        <w:pStyle w:val="ListParagraph"/>
        <w:numPr>
          <w:ilvl w:val="0"/>
          <w:numId w:val="2"/>
        </w:numPr>
        <w:spacing w:after="60" w:before="60"/>
      </w:pPr>
      <w:r>
        <w:rPr>
          <w:rFonts w:ascii="Arial" w:cs="Arial" w:eastAsia="Arial" w:hAnsi="Arial"/>
          <w:color w:val="444444"/>
          <w:sz w:val="22"/>
          <w:szCs w:val="22"/>
        </w:rPr>
        <w:t xml:space="preserve">Workflows — multi-step process orchestration with durable retries and error handling.</w:t>
      </w:r>
    </w:p>
    <w:p>
      <w:pPr>
        <w:pStyle w:val="ListParagraph"/>
        <w:numPr>
          <w:ilvl w:val="0"/>
          <w:numId w:val="2"/>
        </w:numPr>
        <w:spacing w:after="60" w:before="60"/>
      </w:pPr>
      <w:r>
        <w:rPr>
          <w:rFonts w:ascii="Arial" w:cs="Arial" w:eastAsia="Arial" w:hAnsi="Arial"/>
          <w:color w:val="444444"/>
          <w:sz w:val="22"/>
          <w:szCs w:val="22"/>
        </w:rPr>
        <w:t xml:space="preserve">Cloud Scheduler — cron triggers for recurring reports, nightly syncs, weekly labor runs.</w:t>
      </w:r>
    </w:p>
    <w:p>
      <w:pPr>
        <w:pStyle w:val="ListParagraph"/>
        <w:numPr>
          <w:ilvl w:val="0"/>
          <w:numId w:val="2"/>
        </w:numPr>
        <w:spacing w:after="60" w:before="60"/>
      </w:pPr>
      <w:r>
        <w:rPr>
          <w:rFonts w:ascii="Arial" w:cs="Arial" w:eastAsia="Arial" w:hAnsi="Arial"/>
          <w:color w:val="444444"/>
          <w:sz w:val="22"/>
          <w:szCs w:val="22"/>
        </w:rPr>
        <w:t xml:space="preserve">Cloud Tasks — retryable side-effects queue (email sends, external CRM updates).</w:t>
      </w:r>
    </w:p>
    <w:p>
      <w:pPr>
        <w:pStyle w:val="ListParagraph"/>
        <w:numPr>
          <w:ilvl w:val="0"/>
          <w:numId w:val="2"/>
        </w:numPr>
        <w:spacing w:after="60" w:before="60"/>
      </w:pPr>
      <w:r>
        <w:rPr>
          <w:rFonts w:ascii="Arial" w:cs="Arial" w:eastAsia="Arial" w:hAnsi="Arial"/>
          <w:color w:val="444444"/>
          <w:sz w:val="22"/>
          <w:szCs w:val="22"/>
        </w:rPr>
        <w:t xml:space="preserve">Secret Manager — API keys, webhook signing secrets, DB credentials.</w:t>
      </w:r>
    </w:p>
    <w:p>
      <w:pPr>
        <w:pStyle w:val="ListParagraph"/>
        <w:numPr>
          <w:ilvl w:val="0"/>
          <w:numId w:val="2"/>
        </w:numPr>
        <w:spacing w:after="60" w:before="60"/>
      </w:pPr>
      <w:r>
        <w:rPr>
          <w:rFonts w:ascii="Arial" w:cs="Arial" w:eastAsia="Arial" w:hAnsi="Arial"/>
          <w:color w:val="444444"/>
          <w:sz w:val="22"/>
          <w:szCs w:val="22"/>
        </w:rPr>
        <w:t xml:space="preserve">Cloud Storage — contracts, BEOs, invoices, photos, generated PDFs.</w:t>
      </w:r>
    </w:p>
    <w:p>
      <w:pPr>
        <w:pStyle w:val="ListParagraph"/>
        <w:numPr>
          <w:ilvl w:val="0"/>
          <w:numId w:val="2"/>
        </w:numPr>
        <w:spacing w:after="60" w:before="60"/>
      </w:pPr>
      <w:r>
        <w:rPr>
          <w:rFonts w:ascii="Arial" w:cs="Arial" w:eastAsia="Arial" w:hAnsi="Arial"/>
          <w:color w:val="444444"/>
          <w:sz w:val="22"/>
          <w:szCs w:val="22"/>
        </w:rPr>
        <w:t xml:space="preserve">BigQuery — analytics layer for lead attribution, food cost trends, labor reporting.</w:t>
      </w:r>
    </w:p>
    <w:p>
      <w:pPr>
        <w:spacing w:after="0" w:before="120"/>
      </w:pPr>
      <w:r>
        <w:t xml:space="preserve"/>
      </w:r>
    </w:p>
    <w:p>
      <w:pPr>
        <w:pStyle w:val="Heading2"/>
        <w:spacing w:after="120" w:before="280"/>
      </w:pPr>
      <w:r>
        <w:rPr>
          <w:rFonts w:ascii="Arial" w:cs="Arial" w:eastAsia="Arial" w:hAnsi="Arial"/>
          <w:b/>
          <w:bCs/>
          <w:color w:val="2E5F9A"/>
          <w:sz w:val="28"/>
          <w:szCs w:val="28"/>
        </w:rPr>
        <w:t xml:space="preserve">2.2 What's in the Free Tier (Always-Free Monthly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Service</w:t>
            </w:r>
          </w:p>
        </w:tc>
        <w:tc>
          <w:tcPr>
            <w:tcW w:type="dxa" w:w="440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Free Tier</w:t>
            </w:r>
          </w:p>
        </w:tc>
        <w:tc>
          <w:tcPr>
            <w:tcW w:type="dxa" w:w="216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Verdict</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Cloud Run</w:t>
            </w:r>
          </w:p>
        </w:tc>
        <w:tc>
          <w:tcPr>
            <w:tcW w:type="dxa" w:w="4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2M requests, 180k vCPU-seconds, 360k GiB-seconds/mo</w:t>
            </w:r>
          </w:p>
        </w:tc>
        <w:tc>
          <w:tcPr>
            <w:tcW w:type="dxa" w:w="21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Free at small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Firestore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1 GiB storage, 50k reads/day, 20k writes/day, 10 GiB outbound/mo</w:t>
            </w:r>
          </w:p>
        </w:tc>
        <w:tc>
          <w:tcPr>
            <w:tcW w:type="dxa" w:w="21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Free at small scale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Pub/Sub</w:t>
            </w:r>
          </w:p>
        </w:tc>
        <w:tc>
          <w:tcPr>
            <w:tcW w:type="dxa" w:w="4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First 10 GiB throughput/month</w:t>
            </w:r>
          </w:p>
        </w:tc>
        <w:tc>
          <w:tcPr>
            <w:tcW w:type="dxa" w:w="21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Free at small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Workflows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5,000 internal steps + 2,000 external HTTP calls/month</w:t>
            </w:r>
          </w:p>
        </w:tc>
        <w:tc>
          <w:tcPr>
            <w:tcW w:type="dxa" w:w="21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Free at small scale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Cloud Tasks</w:t>
            </w:r>
          </w:p>
        </w:tc>
        <w:tc>
          <w:tcPr>
            <w:tcW w:type="dxa" w:w="4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First 1M operations/month</w:t>
            </w:r>
          </w:p>
        </w:tc>
        <w:tc>
          <w:tcPr>
            <w:tcW w:type="dxa" w:w="21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Free at small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Cloud Scheduler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~3 jobs/month free; $0.10/job/31 days beyond</w:t>
            </w:r>
          </w:p>
        </w:tc>
        <w:tc>
          <w:tcPr>
            <w:tcW w:type="dxa" w:w="21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Pennies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Vision API (OCR)</w:t>
            </w:r>
          </w:p>
        </w:tc>
        <w:tc>
          <w:tcPr>
            <w:tcW w:type="dxa" w:w="4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1,000 units/month free</w:t>
            </w:r>
          </w:p>
        </w:tc>
        <w:tc>
          <w:tcPr>
            <w:tcW w:type="dxa" w:w="21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Free for receipts/BEOs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Speech-to-Text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60 minutes/month free</w:t>
            </w:r>
          </w:p>
        </w:tc>
        <w:tc>
          <w:tcPr>
            <w:tcW w:type="dxa" w:w="21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Free for voicemail transcription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Maps/Routes/Geocoding</w:t>
            </w:r>
          </w:p>
        </w:tc>
        <w:tc>
          <w:tcPr>
            <w:tcW w:type="dxa" w:w="4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~10k free calls/SKU/month (Essentials tier)</w:t>
            </w:r>
          </w:p>
        </w:tc>
        <w:tc>
          <w:tcPr>
            <w:tcW w:type="dxa" w:w="21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Free for delivery routing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Cloud Storage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5 GiB free; lifecycle rules control cost</w:t>
            </w:r>
          </w:p>
        </w:tc>
        <w:tc>
          <w:tcPr>
            <w:tcW w:type="dxa" w:w="21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Free for early volumes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GKE</w:t>
            </w:r>
          </w:p>
        </w:tc>
        <w:tc>
          <w:tcPr>
            <w:tcW w:type="dxa" w:w="4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$0.10/cluster-hour baseline (~$73/mo)</w:t>
            </w:r>
          </w:p>
        </w:tc>
        <w:tc>
          <w:tcPr>
            <w:tcW w:type="dxa" w:w="216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80"/>
            </w:tcMar>
          </w:tcPr>
          <w:p>
            <w:r>
              <w:rPr>
                <w:rFonts w:ascii="Arial" w:cs="Arial" w:eastAsia="Arial" w:hAnsi="Arial"/>
                <w:color w:val="111111"/>
                <w:sz w:val="19"/>
                <w:szCs w:val="19"/>
              </w:rPr>
              <w:t xml:space="preserve">⚡ Avoid — not worth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Memorystore (Redis)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Expensive even at small sizes</w:t>
            </w:r>
          </w:p>
        </w:tc>
        <w:tc>
          <w:tcPr>
            <w:tcW w:type="dxa" w:w="216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80"/>
            </w:tcMar>
          </w:tcPr>
          <w:p>
            <w:r>
              <w:rPr>
                <w:rFonts w:ascii="Arial" w:cs="Arial" w:eastAsia="Arial" w:hAnsi="Arial"/>
                <w:color w:val="111111"/>
                <w:sz w:val="19"/>
                <w:szCs w:val="19"/>
              </w:rPr>
              <w:t xml:space="preserve">⚡ Avoid — not worth it</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Cloud SQL</w:t>
            </w:r>
          </w:p>
        </w:tc>
        <w:tc>
          <w:tcPr>
            <w:tcW w:type="dxa" w:w="4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$0.0105/hr shared-core; easy to overspend 24/7</w:t>
            </w:r>
          </w:p>
        </w:tc>
        <w:tc>
          <w:tcPr>
            <w:tcW w:type="dxa" w:w="2160"/>
            <w:tcBorders>
              <w:top w:val="single" w:color="CCCCCC" w:sz="1"/>
              <w:left w:val="single" w:color="CCCCCC" w:sz="1"/>
              <w:bottom w:val="single" w:color="CCCCCC" w:sz="1"/>
              <w:right w:val="single" w:color="CCCCCC" w:sz="1"/>
            </w:tcBorders>
            <w:shd w:fill="EAE4F7" w:val="clear"/>
            <w:tcMar>
              <w:top w:type="dxa" w:w="80"/>
              <w:left w:type="dxa" w:w="120"/>
              <w:bottom w:type="dxa" w:w="80"/>
              <w:right w:type="dxa" w:w="80"/>
            </w:tcMar>
          </w:tcPr>
          <w:p>
            <w:r>
              <w:rPr>
                <w:rFonts w:ascii="Arial" w:cs="Arial" w:eastAsia="Arial" w:hAnsi="Arial"/>
                <w:color w:val="111111"/>
                <w:sz w:val="19"/>
                <w:szCs w:val="19"/>
              </w:rPr>
              <w:t xml:space="preserve">🔧 Add later if needed</w:t>
            </w:r>
          </w:p>
        </w:tc>
      </w:tr>
    </w:tbl>
    <w:p>
      <w:pPr>
        <w:spacing w:after="0" w:before="120"/>
      </w:pPr>
      <w:r>
        <w:t xml:space="preserve"/>
      </w:r>
    </w:p>
    <w:p>
      <w:pPr>
        <w:pStyle w:val="Heading2"/>
        <w:spacing w:after="120" w:before="280"/>
      </w:pPr>
      <w:r>
        <w:rPr>
          <w:rFonts w:ascii="Arial" w:cs="Arial" w:eastAsia="Arial" w:hAnsi="Arial"/>
          <w:b/>
          <w:bCs/>
          <w:color w:val="2E5F9A"/>
          <w:sz w:val="28"/>
          <w:szCs w:val="28"/>
        </w:rPr>
        <w:t xml:space="preserve">2.3 Workflow-to-Service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Workflow</w:t>
            </w:r>
          </w:p>
        </w:tc>
        <w:tc>
          <w:tcPr>
            <w:tcW w:type="dxa" w:w="300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GCP Services</w:t>
            </w:r>
          </w:p>
        </w:tc>
        <w:tc>
          <w:tcPr>
            <w:tcW w:type="dxa" w:w="396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Minimal Viable Implementation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Order / Lead Intake</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Cloud Run + Firestore + Pub/Sub + Workflows</w:t>
            </w:r>
          </w:p>
        </w:tc>
        <w:tc>
          <w:tcPr>
            <w:tcW w:type="dxa" w:w="3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One /orders endpoint → publishes order.created → Workflow creates calendar event, prep plan, confirmation 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Calendar Sync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Workflows + Calendar API + Cloud Scheduler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Calendar is the operational source of truth; push notifications + nightly sync job</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Staffing / Scheduling</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Workflows + Sheets API + Calendar API</w:t>
            </w:r>
          </w:p>
        </w:tc>
        <w:tc>
          <w:tcPr>
            <w:tcW w:type="dxa" w:w="3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Workflow writes staffing rows to Sheets and creates Calendar blocks for shifts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Procurement / Shopping Lists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Pub/Sub + Workflows + Cloud Tasks + Gmail/Sheets APIs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inventory.low event triggers list generation; pushes to shared Sheet; emails vendor draft POs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Invoicing / Billing</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Cloud Run + Firestore + Cloud Storage + Gmail API</w:t>
            </w:r>
          </w:p>
        </w:tc>
        <w:tc>
          <w:tcPr>
            <w:tcW w:type="dxa" w:w="3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Generate PDF invoices, store in GCS, send via Gmail API, update payment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Reimbursements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Cloud Run + Vision API + Firestore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OCR receipts → extract fields → write reimbursement entries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Weekly Labor Report</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Cloud Scheduler + Cloud Run + Sheets API</w:t>
            </w:r>
          </w:p>
        </w:tc>
        <w:tc>
          <w:tcPr>
            <w:tcW w:type="dxa" w:w="3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Nightly timesheet aggregation; scheduled weekly report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Close CRM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Cloud Run webhook + Pub/Sub + Firestore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Webhook receiver for Close events → pipeline state in Firestore → downstream automation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Venue / Referral Management</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Firestore + Scheduler + Workflows</w:t>
            </w:r>
          </w:p>
        </w:tc>
        <w:tc>
          <w:tcPr>
            <w:tcW w:type="dxa" w:w="3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Rep-assigned venue entities; scheduled check-in reminders; optional Places API enrichment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Notifications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Cloud Tasks + Gmail 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Retryable email queue; SMS via Twilio if needed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Analytics / Reporting</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BigQuery + Firestore export</w:t>
            </w:r>
          </w:p>
        </w:tc>
        <w:tc>
          <w:tcPr>
            <w:tcW w:type="dxa" w:w="3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Lead source attribution, food cost %, labor %, conversion funnel</w:t>
            </w:r>
          </w:p>
        </w:tc>
      </w:tr>
    </w:tbl>
    <w:p>
      <w:pPr>
        <w:spacing w:after="0" w:before="120"/>
      </w:pPr>
      <w:r>
        <w:t xml:space="preserve"/>
      </w:r>
    </w:p>
    <w:p>
      <w:pPr>
        <w:pStyle w:val="Heading2"/>
        <w:spacing w:after="120" w:before="280"/>
      </w:pPr>
      <w:r>
        <w:rPr>
          <w:rFonts w:ascii="Arial" w:cs="Arial" w:eastAsia="Arial" w:hAnsi="Arial"/>
          <w:b/>
          <w:bCs/>
          <w:color w:val="2E5F9A"/>
          <w:sz w:val="28"/>
          <w:szCs w:val="28"/>
        </w:rPr>
        <w:t xml:space="preserve">2.4 Cost Traps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75B0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AVOID</w:t>
            </w:r>
          </w:p>
        </w:tc>
        <w:tc>
          <w:tcPr>
            <w:tcW w:type="dxa" w:w="8160"/>
            <w:tcBorders>
              <w:top w:val="single" w:color="CCCCCC" w:sz="1"/>
              <w:left w:val="single" w:color="CCCCCC" w:sz="1"/>
              <w:bottom w:val="single" w:color="CCCCCC" w:sz="1"/>
              <w:right w:val="single" w:color="CCCCCC" w:sz="1"/>
            </w:tcBorders>
            <w:shd w:fill="FDE8D0" w:val="clear"/>
            <w:tcMar>
              <w:top w:type="dxa" w:w="120"/>
              <w:left w:type="dxa" w:w="200"/>
              <w:bottom w:type="dxa" w:w="120"/>
              <w:right w:type="dxa" w:w="160"/>
            </w:tcMar>
          </w:tcPr>
          <w:p>
            <w:r>
              <w:rPr>
                <w:rFonts w:ascii="Arial" w:cs="Arial" w:eastAsia="Arial" w:hAnsi="Arial"/>
                <w:color w:val="111111"/>
                <w:sz w:val="21"/>
                <w:szCs w:val="21"/>
              </w:rPr>
              <w:t xml:space="preserve">GKE has a $72–73/month baseline cluster fee regardless of workload. Memorystore is expensive even at small sizes. Cloud SQL left running 24/7 accumulates quickly. Always-on resources are the enemy of a bursty catering workload — go serverless-first.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D7D4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$300 CREDIT STRATEGY</w:t>
            </w:r>
          </w:p>
        </w:tc>
        <w:tc>
          <w:tcPr>
            <w:tcW w:type="dxa" w:w="8160"/>
            <w:tcBorders>
              <w:top w:val="single" w:color="CCCCCC" w:sz="1"/>
              <w:left w:val="single" w:color="CCCCCC" w:sz="1"/>
              <w:bottom w:val="single" w:color="CCCCCC" w:sz="1"/>
              <w:right w:val="single" w:color="CCCCCC" w:sz="1"/>
            </w:tcBorders>
            <w:shd w:fill="D6F0DE" w:val="clear"/>
            <w:tcMar>
              <w:top w:type="dxa" w:w="120"/>
              <w:left w:type="dxa" w:w="200"/>
              <w:bottom w:type="dxa" w:w="120"/>
              <w:right w:type="dxa" w:w="160"/>
            </w:tcMar>
          </w:tcPr>
          <w:p>
            <w:r>
              <w:rPr>
                <w:rFonts w:ascii="Arial" w:cs="Arial" w:eastAsia="Arial" w:hAnsi="Arial"/>
                <w:color w:val="111111"/>
                <w:sz w:val="21"/>
                <w:szCs w:val="21"/>
              </w:rPr>
              <w:t xml:space="preserve">Use the $300 trial credit for controlled spikes: data migration, Document AI experiments for BEO parsing, Route Optimization API testing. Protect it from always-on resources — those should stay inside free tier limits.</w:t>
            </w:r>
          </w:p>
        </w:tc>
      </w:tr>
    </w:tbl>
    <w:p>
      <w:pPr>
        <w:spacing w:after="0" w:before="120"/>
      </w:pPr>
      <w:r>
        <w:t xml:space="preserve"/>
      </w:r>
    </w:p>
    <w:p>
      <w:r>
        <w:br w:type="page"/>
      </w:r>
    </w:p>
    <w:p>
      <w:pPr>
        <w:pStyle w:val="Heading1"/>
        <w:pBdr>
          <w:bottom w:val="single" w:color="2E5F9A" w:sz="8" w:space="6"/>
        </w:pBdr>
        <w:spacing w:after="160" w:before="360"/>
      </w:pPr>
      <w:r>
        <w:rPr>
          <w:rFonts w:ascii="Arial" w:cs="Arial" w:eastAsia="Arial" w:hAnsi="Arial"/>
          <w:b/>
          <w:bCs/>
          <w:color w:val="1B2A4A"/>
          <w:sz w:val="36"/>
          <w:szCs w:val="36"/>
        </w:rPr>
        <w:t xml:space="preserve">3. Cursor Pro — Orchestration &amp; Build Environment</w:t>
      </w:r>
    </w:p>
    <w:p>
      <w:pPr>
        <w:spacing w:after="80" w:before="80"/>
      </w:pPr>
      <w:r>
        <w:rPr>
          <w:rFonts w:ascii="Arial" w:cs="Arial" w:eastAsia="Arial" w:hAnsi="Arial"/>
          <w:color w:val="444444"/>
          <w:sz w:val="22"/>
          <w:szCs w:val="22"/>
        </w:rPr>
        <w:t xml:space="preserve">Cursor is the File Tree Owner (FTO) and primary build environment. The key distinction: Cursor Pro is an engineering multiplier — it builds and maintains everything in the stack faster, but it does not replace any of the runtime infrastructure.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F9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CORRECT FRAMING</w:t>
            </w:r>
          </w:p>
        </w:tc>
        <w:tc>
          <w:tcPr>
            <w:tcW w:type="dxa" w:w="8160"/>
            <w:tcBorders>
              <w:top w:val="single" w:color="CCCCCC" w:sz="1"/>
              <w:left w:val="single" w:color="CCCCCC" w:sz="1"/>
              <w:bottom w:val="single" w:color="CCCCCC" w:sz="1"/>
              <w:right w:val="single" w:color="CCCCCC" w:sz="1"/>
            </w:tcBorders>
            <w:shd w:fill="D6E4F5" w:val="clear"/>
            <w:tcMar>
              <w:top w:type="dxa" w:w="120"/>
              <w:left w:type="dxa" w:w="200"/>
              <w:bottom w:type="dxa" w:w="120"/>
              <w:right w:type="dxa" w:w="160"/>
            </w:tcMar>
          </w:tcPr>
          <w:p>
            <w:r>
              <w:rPr>
                <w:rFonts w:ascii="Arial" w:cs="Arial" w:eastAsia="Arial" w:hAnsi="Arial"/>
                <w:color w:val="111111"/>
                <w:sz w:val="21"/>
                <w:szCs w:val="21"/>
              </w:rPr>
              <w:t xml:space="preserve">Cursor can build essentially the full product surface (integrations, Cloud Run services, Workflows definitions, admin dashboards, webhook handlers). But 'how much can be implemented using Cursor Pro alone' is low as a deployed service — it's the forge, not the product.</w:t>
            </w:r>
          </w:p>
        </w:tc>
      </w:tr>
    </w:tbl>
    <w:p>
      <w:pPr>
        <w:spacing w:after="0" w:before="100"/>
      </w:pPr>
      <w:r>
        <w:t xml:space="preserve"/>
      </w:r>
    </w:p>
    <w:p>
      <w:pPr>
        <w:pStyle w:val="Heading2"/>
        <w:spacing w:after="120" w:before="280"/>
      </w:pPr>
      <w:r>
        <w:rPr>
          <w:rFonts w:ascii="Arial" w:cs="Arial" w:eastAsia="Arial" w:hAnsi="Arial"/>
          <w:b/>
          <w:bCs/>
          <w:color w:val="2E5F9A"/>
          <w:sz w:val="28"/>
          <w:szCs w:val="28"/>
        </w:rPr>
        <w:t xml:space="preserve">3.1 What Cursor Pro Includes</w:t>
      </w:r>
    </w:p>
    <w:p>
      <w:pPr>
        <w:pStyle w:val="ListParagraph"/>
        <w:numPr>
          <w:ilvl w:val="0"/>
          <w:numId w:val="2"/>
        </w:numPr>
        <w:spacing w:after="60" w:before="60"/>
      </w:pPr>
      <w:r>
        <w:rPr>
          <w:rFonts w:ascii="Arial" w:cs="Arial" w:eastAsia="Arial" w:hAnsi="Arial"/>
          <w:color w:val="444444"/>
          <w:sz w:val="22"/>
          <w:szCs w:val="22"/>
        </w:rPr>
        <w:t xml:space="preserve">Unlimited Tab + Auto/Composer model usage (the everyday workhorse)</w:t>
      </w:r>
    </w:p>
    <w:p>
      <w:pPr>
        <w:pStyle w:val="ListParagraph"/>
        <w:numPr>
          <w:ilvl w:val="0"/>
          <w:numId w:val="2"/>
        </w:numPr>
        <w:spacing w:after="60" w:before="60"/>
      </w:pPr>
      <w:r>
        <w:rPr>
          <w:rFonts w:ascii="Arial" w:cs="Arial" w:eastAsia="Arial" w:hAnsi="Arial"/>
          <w:color w:val="444444"/>
          <w:sz w:val="22"/>
          <w:szCs w:val="22"/>
        </w:rPr>
        <w:t xml:space="preserve">~$20/month pool of API-priced frontier model usage (Claude Sonnet, GPT-4o, etc.)</w:t>
      </w:r>
    </w:p>
    <w:p>
      <w:pPr>
        <w:pStyle w:val="ListParagraph"/>
        <w:numPr>
          <w:ilvl w:val="0"/>
          <w:numId w:val="2"/>
        </w:numPr>
        <w:spacing w:after="60" w:before="60"/>
      </w:pPr>
      <w:r>
        <w:rPr>
          <w:rFonts w:ascii="Arial" w:cs="Arial" w:eastAsia="Arial" w:hAnsi="Arial"/>
          <w:color w:val="444444"/>
          <w:sz w:val="22"/>
          <w:szCs w:val="22"/>
        </w:rPr>
        <w:t xml:space="preserve">MCP (Model Context Protocol) — connect external systems and data sources into the IDE</w:t>
      </w:r>
    </w:p>
    <w:p>
      <w:pPr>
        <w:pStyle w:val="ListParagraph"/>
        <w:numPr>
          <w:ilvl w:val="0"/>
          <w:numId w:val="2"/>
        </w:numPr>
        <w:spacing w:after="60" w:before="60"/>
      </w:pPr>
      <w:r>
        <w:rPr>
          <w:rFonts w:ascii="Arial" w:cs="Arial" w:eastAsia="Arial" w:hAnsi="Arial"/>
          <w:color w:val="444444"/>
          <w:sz w:val="22"/>
          <w:szCs w:val="22"/>
        </w:rPr>
        <w:t xml:space="preserve">Cloud Agents — remote isolated machines that clone repos, run tests, push changes</w:t>
      </w:r>
    </w:p>
    <w:p>
      <w:pPr>
        <w:pStyle w:val="ListParagraph"/>
        <w:numPr>
          <w:ilvl w:val="0"/>
          <w:numId w:val="2"/>
        </w:numPr>
        <w:spacing w:after="60" w:before="60"/>
      </w:pPr>
      <w:r>
        <w:rPr>
          <w:rFonts w:ascii="Arial" w:cs="Arial" w:eastAsia="Arial" w:hAnsi="Arial"/>
          <w:color w:val="444444"/>
          <w:sz w:val="22"/>
          <w:szCs w:val="22"/>
        </w:rPr>
        <w:t xml:space="preserve">Rules / Hooks / Skills — customizable automation building blocks for workflow enforcement</w:t>
      </w:r>
    </w:p>
    <w:p>
      <w:pPr>
        <w:pStyle w:val="ListParagraph"/>
        <w:numPr>
          <w:ilvl w:val="0"/>
          <w:numId w:val="2"/>
        </w:numPr>
        <w:spacing w:after="60" w:before="60"/>
      </w:pPr>
      <w:r>
        <w:rPr>
          <w:rFonts w:ascii="Arial" w:cs="Arial" w:eastAsia="Arial" w:hAnsi="Arial"/>
          <w:color w:val="444444"/>
          <w:sz w:val="22"/>
          <w:szCs w:val="22"/>
        </w:rPr>
        <w:t xml:space="preserve">Cloud Agents API — programmatic agent invocation with rate limits (300 req/min)</w:t>
      </w:r>
    </w:p>
    <w:p>
      <w:pPr>
        <w:spacing w:after="0" w:before="100"/>
      </w:pPr>
      <w:r>
        <w:t xml:space="preserve"/>
      </w:r>
    </w:p>
    <w:p>
      <w:pPr>
        <w:pStyle w:val="Heading2"/>
        <w:spacing w:after="120" w:before="280"/>
      </w:pPr>
      <w:r>
        <w:rPr>
          <w:rFonts w:ascii="Arial" w:cs="Arial" w:eastAsia="Arial" w:hAnsi="Arial"/>
          <w:b/>
          <w:bCs/>
          <w:color w:val="2E5F9A"/>
          <w:sz w:val="28"/>
          <w:szCs w:val="28"/>
        </w:rPr>
        <w:t xml:space="preserve">3.2 How It Maps to This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Capability</w:t>
            </w:r>
          </w:p>
        </w:tc>
        <w:tc>
          <w:tcPr>
            <w:tcW w:type="dxa" w:w="380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How Cursor Handles It</w:t>
            </w:r>
          </w:p>
        </w:tc>
        <w:tc>
          <w:tcPr>
            <w:tcW w:type="dxa" w:w="296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Cloud Run service scaffolding</w:t>
            </w:r>
          </w:p>
        </w:tc>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Agent generates endpoints, handlers, tests</w:t>
            </w:r>
          </w:p>
        </w:tc>
        <w:tc>
          <w:tcPr>
            <w:tcW w:type="dxa" w:w="29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Core use case — stays in Auto/Composer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Webhook handler generation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Close, Calendar, Stripe signature verification patterns</w:t>
            </w:r>
          </w:p>
        </w:tc>
        <w:tc>
          <w:tcPr>
            <w:tcW w:type="dxa" w:w="29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Core use case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Workflows definitions</w:t>
            </w:r>
          </w:p>
        </w:tc>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YAML/JSON orchestration definitions with error handling</w:t>
            </w:r>
          </w:p>
        </w:tc>
        <w:tc>
          <w:tcPr>
            <w:tcW w:type="dxa" w:w="29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Accelerates significantly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Integration modules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Close API, Sheets API, Calendar API client code</w:t>
            </w:r>
          </w:p>
        </w:tc>
        <w:tc>
          <w:tcPr>
            <w:tcW w:type="dxa" w:w="29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Core use case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Admin dashboard UI</w:t>
            </w:r>
          </w:p>
        </w:tc>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Internal ops surfaces for event management</w:t>
            </w:r>
          </w:p>
        </w:tc>
        <w:tc>
          <w:tcPr>
            <w:tcW w:type="dxa" w:w="29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Core use case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Test suite generation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Unit + integration tests for all services</w:t>
            </w:r>
          </w:p>
        </w:tc>
        <w:tc>
          <w:tcPr>
            <w:tcW w:type="dxa" w:w="29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Core use case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MCP-connected dev</w:t>
            </w:r>
          </w:p>
        </w:tc>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Real-time data from staging systems into IDE context</w:t>
            </w:r>
          </w:p>
        </w:tc>
        <w:tc>
          <w:tcPr>
            <w:tcW w:type="dxa" w:w="2960"/>
            <w:tcBorders>
              <w:top w:val="single" w:color="CCCCCC" w:sz="1"/>
              <w:left w:val="single" w:color="CCCCCC" w:sz="1"/>
              <w:bottom w:val="single" w:color="CCCCCC" w:sz="1"/>
              <w:right w:val="single" w:color="CCCCCC" w:sz="1"/>
            </w:tcBorders>
            <w:shd w:fill="EAE4F7" w:val="clear"/>
            <w:tcMar>
              <w:top w:type="dxa" w:w="80"/>
              <w:left w:type="dxa" w:w="120"/>
              <w:bottom w:type="dxa" w:w="80"/>
              <w:right w:type="dxa" w:w="80"/>
            </w:tcMar>
          </w:tcPr>
          <w:p>
            <w:r>
              <w:rPr>
                <w:rFonts w:ascii="Arial" w:cs="Arial" w:eastAsia="Arial" w:hAnsi="Arial"/>
                <w:color w:val="111111"/>
                <w:sz w:val="19"/>
                <w:szCs w:val="19"/>
              </w:rPr>
              <w:t xml:space="preserve">🔧 Requires MCP server setup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Long-horizon agentic builds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Multi-step scaffolding of entire modules</w:t>
            </w:r>
          </w:p>
        </w:tc>
        <w:tc>
          <w:tcPr>
            <w:tcW w:type="dxa" w:w="296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80"/>
            </w:tcMar>
          </w:tcPr>
          <w:p>
            <w:r>
              <w:rPr>
                <w:rFonts w:ascii="Arial" w:cs="Arial" w:eastAsia="Arial" w:hAnsi="Arial"/>
                <w:color w:val="111111"/>
                <w:sz w:val="19"/>
                <w:szCs w:val="19"/>
              </w:rPr>
              <w:t xml:space="preserve">⚡ Burns API-priced pool — use sparingly</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Production runtime</w:t>
            </w:r>
          </w:p>
        </w:tc>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Deployed service that runs the catering platform</w:t>
            </w:r>
          </w:p>
        </w:tc>
        <w:tc>
          <w:tcPr>
            <w:tcW w:type="dxa" w:w="296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80"/>
            </w:tcMar>
          </w:tcPr>
          <w:p>
            <w:r>
              <w:rPr>
                <w:rFonts w:ascii="Arial" w:cs="Arial" w:eastAsia="Arial" w:hAnsi="Arial"/>
                <w:color w:val="111111"/>
                <w:sz w:val="19"/>
                <w:szCs w:val="19"/>
              </w:rPr>
              <w:t xml:space="preserve">⚡ Not Cursor's role — that's GCC</w:t>
            </w:r>
          </w:p>
        </w:tc>
      </w:tr>
    </w:tbl>
    <w:p>
      <w:pPr>
        <w:spacing w:after="0" w:before="100"/>
      </w:pPr>
      <w:r>
        <w:t xml:space="preserve"/>
      </w:r>
    </w:p>
    <w:p>
      <w:pPr>
        <w:pStyle w:val="Heading2"/>
        <w:spacing w:after="120" w:before="280"/>
      </w:pPr>
      <w:r>
        <w:rPr>
          <w:rFonts w:ascii="Arial" w:cs="Arial" w:eastAsia="Arial" w:hAnsi="Arial"/>
          <w:b/>
          <w:bCs/>
          <w:color w:val="2E5F9A"/>
          <w:sz w:val="28"/>
          <w:szCs w:val="28"/>
        </w:rPr>
        <w:t xml:space="preserve">3.3 Usage Model &amp; Constraints</w:t>
      </w:r>
    </w:p>
    <w:p>
      <w:pPr>
        <w:pStyle w:val="ListParagraph"/>
        <w:numPr>
          <w:ilvl w:val="0"/>
          <w:numId w:val="2"/>
        </w:numPr>
        <w:spacing w:after="60" w:before="60"/>
      </w:pPr>
      <w:r>
        <w:rPr>
          <w:rFonts w:ascii="Arial" w:cs="Arial" w:eastAsia="Arial" w:hAnsi="Arial"/>
          <w:color w:val="444444"/>
          <w:sz w:val="22"/>
          <w:szCs w:val="22"/>
        </w:rPr>
        <w:t xml:space="preserve">Two usage pools: (1) Auto+Composer — generous, everyday use; (2) API-priced frontier models — ~$20/mo base, expandable</w:t>
      </w:r>
    </w:p>
    <w:p>
      <w:pPr>
        <w:pStyle w:val="ListParagraph"/>
        <w:numPr>
          <w:ilvl w:val="0"/>
          <w:numId w:val="2"/>
        </w:numPr>
        <w:spacing w:after="60" w:before="60"/>
      </w:pPr>
      <w:r>
        <w:rPr>
          <w:rFonts w:ascii="Arial" w:cs="Arial" w:eastAsia="Arial" w:hAnsi="Arial"/>
          <w:color w:val="444444"/>
          <w:sz w:val="22"/>
          <w:szCs w:val="22"/>
        </w:rPr>
        <w:t xml:space="preserve">For this stack: stay in Auto/Composer for routine scaffolding; reserve API-priced usage for complex multi-step agent runs</w:t>
      </w:r>
    </w:p>
    <w:p>
      <w:pPr>
        <w:pStyle w:val="ListParagraph"/>
        <w:numPr>
          <w:ilvl w:val="0"/>
          <w:numId w:val="2"/>
        </w:numPr>
        <w:spacing w:after="60" w:before="60"/>
      </w:pPr>
      <w:r>
        <w:rPr>
          <w:rFonts w:ascii="Arial" w:cs="Arial" w:eastAsia="Arial" w:hAnsi="Arial"/>
          <w:color w:val="444444"/>
          <w:sz w:val="22"/>
          <w:szCs w:val="22"/>
        </w:rPr>
        <w:t xml:space="preserve">Privacy Mode should be enabled — zero data retention with model providers; no PCI-regulated data in prompts ever</w:t>
      </w:r>
    </w:p>
    <w:p>
      <w:pPr>
        <w:pStyle w:val="ListParagraph"/>
        <w:numPr>
          <w:ilvl w:val="0"/>
          <w:numId w:val="2"/>
        </w:numPr>
        <w:spacing w:after="60" w:before="60"/>
      </w:pPr>
      <w:r>
        <w:rPr>
          <w:rFonts w:ascii="Arial" w:cs="Arial" w:eastAsia="Arial" w:hAnsi="Arial"/>
          <w:color w:val="444444"/>
          <w:sz w:val="22"/>
          <w:szCs w:val="22"/>
        </w:rPr>
        <w:t xml:space="preserve">Cloud Agents API is the right hook for programmatic Cursor invocation from Openclaw or scheduled triggers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75B0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DATA SAFETY</w:t>
            </w:r>
          </w:p>
        </w:tc>
        <w:tc>
          <w:tcPr>
            <w:tcW w:type="dxa" w:w="8160"/>
            <w:tcBorders>
              <w:top w:val="single" w:color="CCCCCC" w:sz="1"/>
              <w:left w:val="single" w:color="CCCCCC" w:sz="1"/>
              <w:bottom w:val="single" w:color="CCCCCC" w:sz="1"/>
              <w:right w:val="single" w:color="CCCCCC" w:sz="1"/>
            </w:tcBorders>
            <w:shd w:fill="FDE8D0" w:val="clear"/>
            <w:tcMar>
              <w:top w:type="dxa" w:w="120"/>
              <w:left w:type="dxa" w:w="200"/>
              <w:bottom w:type="dxa" w:w="120"/>
              <w:right w:type="dxa" w:w="160"/>
            </w:tcMar>
          </w:tcPr>
          <w:p>
            <w:r>
              <w:rPr>
                <w:rFonts w:ascii="Arial" w:cs="Arial" w:eastAsia="Arial" w:hAnsi="Arial"/>
                <w:color w:val="111111"/>
                <w:sz w:val="21"/>
                <w:szCs w:val="21"/>
              </w:rPr>
              <w:t xml:space="preserve">Cursor's Terms prohibit PCI DSS-regulated data in prompts. Use redacted fixtures and synthetic data for debugging payment flows. Real cardholder data never enters the IDE context.</w:t>
            </w:r>
          </w:p>
        </w:tc>
      </w:tr>
    </w:tbl>
    <w:p>
      <w:pPr>
        <w:spacing w:after="0" w:before="120"/>
      </w:pPr>
      <w:r>
        <w:t xml:space="preserve"/>
      </w:r>
    </w:p>
    <w:p>
      <w:r>
        <w:br w:type="page"/>
      </w:r>
    </w:p>
    <w:p>
      <w:pPr>
        <w:pStyle w:val="Heading1"/>
        <w:pBdr>
          <w:bottom w:val="single" w:color="2E5F9A" w:sz="8" w:space="6"/>
        </w:pBdr>
        <w:spacing w:after="160" w:before="360"/>
      </w:pPr>
      <w:r>
        <w:rPr>
          <w:rFonts w:ascii="Arial" w:cs="Arial" w:eastAsia="Arial" w:hAnsi="Arial"/>
          <w:b/>
          <w:bCs/>
          <w:color w:val="1B2A4A"/>
          <w:sz w:val="36"/>
          <w:szCs w:val="36"/>
        </w:rPr>
        <w:t xml:space="preserve">4. Claude Pro — Intelligence Layer &amp; Copilot</w:t>
      </w:r>
    </w:p>
    <w:p>
      <w:pPr>
        <w:spacing w:after="80" w:before="80"/>
      </w:pPr>
      <w:r>
        <w:rPr>
          <w:rFonts w:ascii="Arial" w:cs="Arial" w:eastAsia="Arial" w:hAnsi="Arial"/>
          <w:color w:val="444444"/>
          <w:sz w:val="22"/>
          <w:szCs w:val="22"/>
        </w:rPr>
        <w:t xml:space="preserve">Claude Pro is the judgment and intelligence layer — the 'semi' in semi-autonomous. It handles human-in-the-loop operations, scheduled document sweeps, proposal generation, reporting, and operational copiloting across all Google Workspace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75B0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WHAT IT IS NOT</w:t>
            </w:r>
          </w:p>
        </w:tc>
        <w:tc>
          <w:tcPr>
            <w:tcW w:type="dxa" w:w="8160"/>
            <w:tcBorders>
              <w:top w:val="single" w:color="CCCCCC" w:sz="1"/>
              <w:left w:val="single" w:color="CCCCCC" w:sz="1"/>
              <w:bottom w:val="single" w:color="CCCCCC" w:sz="1"/>
              <w:right w:val="single" w:color="CCCCCC" w:sz="1"/>
            </w:tcBorders>
            <w:shd w:fill="FDE8D0" w:val="clear"/>
            <w:tcMar>
              <w:top w:type="dxa" w:w="120"/>
              <w:left w:type="dxa" w:w="200"/>
              <w:bottom w:type="dxa" w:w="120"/>
              <w:right w:type="dxa" w:w="160"/>
            </w:tcMar>
          </w:tcPr>
          <w:p>
            <w:r>
              <w:rPr>
                <w:rFonts w:ascii="Arial" w:cs="Arial" w:eastAsia="Arial" w:hAnsi="Arial"/>
                <w:color w:val="111111"/>
                <w:sz w:val="21"/>
                <w:szCs w:val="21"/>
              </w:rPr>
              <w:t xml:space="preserve">Claude Pro is a paid consumer chat product, not an application platform. It does not include API/Console access (that's a separate product). It cannot reliably run event-driven, transactional, auditable automation without GCC underneath it.</w:t>
            </w:r>
          </w:p>
        </w:tc>
      </w:tr>
    </w:tbl>
    <w:p>
      <w:pPr>
        <w:spacing w:after="0" w:before="100"/>
      </w:pPr>
      <w:r>
        <w:t xml:space="preserve"/>
      </w:r>
    </w:p>
    <w:p>
      <w:pPr>
        <w:pStyle w:val="Heading2"/>
        <w:spacing w:after="120" w:before="280"/>
      </w:pPr>
      <w:r>
        <w:rPr>
          <w:rFonts w:ascii="Arial" w:cs="Arial" w:eastAsia="Arial" w:hAnsi="Arial"/>
          <w:b/>
          <w:bCs/>
          <w:color w:val="2E5F9A"/>
          <w:sz w:val="28"/>
          <w:szCs w:val="28"/>
        </w:rPr>
        <w:t xml:space="preserve">4.1 Capability Surfaces Available</w:t>
      </w:r>
    </w:p>
    <w:p>
      <w:pPr>
        <w:pStyle w:val="ListParagraph"/>
        <w:numPr>
          <w:ilvl w:val="0"/>
          <w:numId w:val="2"/>
        </w:numPr>
        <w:spacing w:after="60" w:before="60"/>
      </w:pPr>
      <w:r>
        <w:rPr>
          <w:rFonts w:ascii="Arial" w:cs="Arial" w:eastAsia="Arial" w:hAnsi="Arial"/>
          <w:color w:val="444444"/>
          <w:sz w:val="22"/>
          <w:szCs w:val="22"/>
        </w:rPr>
        <w:t xml:space="preserve">Projects — self-contained workspaces with knowledge bases + instructions; scale via RAG at context limits</w:t>
      </w:r>
    </w:p>
    <w:p>
      <w:pPr>
        <w:pStyle w:val="ListParagraph"/>
        <w:numPr>
          <w:ilvl w:val="0"/>
          <w:numId w:val="2"/>
        </w:numPr>
        <w:spacing w:after="60" w:before="60"/>
      </w:pPr>
      <w:r>
        <w:rPr>
          <w:rFonts w:ascii="Arial" w:cs="Arial" w:eastAsia="Arial" w:hAnsi="Arial"/>
          <w:color w:val="444444"/>
          <w:sz w:val="22"/>
          <w:szCs w:val="22"/>
        </w:rPr>
        <w:t xml:space="preserve">Connectors — Google Workspace (Gmail draft, Calendar read/write, Drive search/read), Slack, ClickUp, Close (via remote MCP)</w:t>
      </w:r>
    </w:p>
    <w:p>
      <w:pPr>
        <w:pStyle w:val="ListParagraph"/>
        <w:numPr>
          <w:ilvl w:val="0"/>
          <w:numId w:val="2"/>
        </w:numPr>
        <w:spacing w:after="60" w:before="60"/>
      </w:pPr>
      <w:r>
        <w:rPr>
          <w:rFonts w:ascii="Arial" w:cs="Arial" w:eastAsia="Arial" w:hAnsi="Arial"/>
          <w:color w:val="444444"/>
          <w:sz w:val="22"/>
          <w:szCs w:val="22"/>
        </w:rPr>
        <w:t xml:space="preserve">Claude Code (cloud) — scheduled tasks that run as cloud-executed jobs; polling-based automation</w:t>
      </w:r>
    </w:p>
    <w:p>
      <w:pPr>
        <w:pStyle w:val="ListParagraph"/>
        <w:numPr>
          <w:ilvl w:val="0"/>
          <w:numId w:val="2"/>
        </w:numPr>
        <w:spacing w:after="60" w:before="60"/>
      </w:pPr>
      <w:r>
        <w:rPr>
          <w:rFonts w:ascii="Arial" w:cs="Arial" w:eastAsia="Arial" w:hAnsi="Arial"/>
          <w:color w:val="444444"/>
          <w:sz w:val="22"/>
          <w:szCs w:val="22"/>
        </w:rPr>
        <w:t xml:space="preserve">Cowork (desktop) — scheduled recurring sweeps; tree sweeps against Drive/Calendar content</w:t>
      </w:r>
    </w:p>
    <w:p>
      <w:pPr>
        <w:pStyle w:val="ListParagraph"/>
        <w:numPr>
          <w:ilvl w:val="0"/>
          <w:numId w:val="2"/>
        </w:numPr>
        <w:spacing w:after="60" w:before="60"/>
      </w:pPr>
      <w:r>
        <w:rPr>
          <w:rFonts w:ascii="Arial" w:cs="Arial" w:eastAsia="Arial" w:hAnsi="Arial"/>
          <w:color w:val="444444"/>
          <w:sz w:val="22"/>
          <w:szCs w:val="22"/>
        </w:rPr>
        <w:t xml:space="preserve">200K context window — large enough to process full BEOs, weekly ops packs, pipeline exports</w:t>
      </w:r>
    </w:p>
    <w:p>
      <w:pPr>
        <w:spacing w:after="0" w:before="100"/>
      </w:pPr>
      <w:r>
        <w:t xml:space="preserve"/>
      </w:r>
    </w:p>
    <w:p>
      <w:pPr>
        <w:pStyle w:val="Heading2"/>
        <w:spacing w:after="120" w:before="280"/>
      </w:pPr>
      <w:r>
        <w:rPr>
          <w:rFonts w:ascii="Arial" w:cs="Arial" w:eastAsia="Arial" w:hAnsi="Arial"/>
          <w:b/>
          <w:bCs/>
          <w:color w:val="2E5F9A"/>
          <w:sz w:val="28"/>
          <w:szCs w:val="28"/>
        </w:rPr>
        <w:t xml:space="preserve">4.2 Feature Feasibility for Catering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Feasibility</w:t>
            </w:r>
          </w:p>
        </w:tc>
      </w:tr>
      <w:tr>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Weekly ops briefing (calendar + tasks)</w:t>
            </w:r>
          </w:p>
        </w:tc>
        <w:tc>
          <w:tcPr>
            <w:tcW w:type="dxa" w:w="57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Fully feasible — Cowork scheduled sweep against Calendar + Drive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Proposal / menu draft generation</w:t>
            </w:r>
          </w:p>
        </w:tc>
        <w:tc>
          <w:tcPr>
            <w:tcW w:type="dxa" w:w="57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Fully feasible — Projects with menu knowledge base + templates</w:t>
            </w:r>
          </w:p>
        </w:tc>
      </w:tr>
      <w:tr>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Pipeline forecast narrative</w:t>
            </w:r>
          </w:p>
        </w:tc>
        <w:tc>
          <w:tcPr>
            <w:tcW w:type="dxa" w:w="57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Fully feasible — analyze Sheets export, generate forecast with scenarios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Reimbursement extraction from receipts</w:t>
            </w:r>
          </w:p>
        </w:tc>
        <w:tc>
          <w:tcPr>
            <w:tcW w:type="dxa" w:w="57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Fully feasible — image/PDF input → structured CSV output</w:t>
            </w:r>
          </w:p>
        </w:tc>
      </w:tr>
      <w:tr>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Venue outreach draft generation</w:t>
            </w:r>
          </w:p>
        </w:tc>
        <w:tc>
          <w:tcPr>
            <w:tcW w:type="dxa" w:w="57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Fully feasible — batch email drafts from venue contact 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Labor report analysis + anomaly flags</w:t>
            </w:r>
          </w:p>
        </w:tc>
        <w:tc>
          <w:tcPr>
            <w:tcW w:type="dxa" w:w="57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Fully feasible — timesheet CSV → narrative report + anomaly table</w:t>
            </w:r>
          </w:p>
        </w:tc>
      </w:tr>
      <w:tr>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Close CRM updates (autonomous)</w:t>
            </w:r>
          </w:p>
        </w:tc>
        <w:tc>
          <w:tcPr>
            <w:tcW w:type="dxa" w:w="576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80"/>
            </w:tcMar>
          </w:tcPr>
          <w:p>
            <w:r>
              <w:rPr>
                <w:rFonts w:ascii="Arial" w:cs="Arial" w:eastAsia="Arial" w:hAnsi="Arial"/>
                <w:color w:val="111111"/>
                <w:sz w:val="19"/>
                <w:szCs w:val="19"/>
              </w:rPr>
              <w:t xml:space="preserve">⚡ Partial — can generate 'what to update' payloads; write-back needs API glue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Event-driven automation (webhooks)</w:t>
            </w:r>
          </w:p>
        </w:tc>
        <w:tc>
          <w:tcPr>
            <w:tcW w:type="dxa" w:w="576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80"/>
            </w:tcMar>
          </w:tcPr>
          <w:p>
            <w:r>
              <w:rPr>
                <w:rFonts w:ascii="Arial" w:cs="Arial" w:eastAsia="Arial" w:hAnsi="Arial"/>
                <w:color w:val="111111"/>
                <w:sz w:val="19"/>
                <w:szCs w:val="19"/>
              </w:rPr>
              <w:t xml:space="preserve">⚡ Not feasible in Pro — needs GCC runtime underneath</w:t>
            </w:r>
          </w:p>
        </w:tc>
      </w:tr>
      <w:tr>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Calendar event creation (unattended)</w:t>
            </w:r>
          </w:p>
        </w:tc>
        <w:tc>
          <w:tcPr>
            <w:tcW w:type="dxa" w:w="576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80"/>
            </w:tcMar>
          </w:tcPr>
          <w:p>
            <w:r>
              <w:rPr>
                <w:rFonts w:ascii="Arial" w:cs="Arial" w:eastAsia="Arial" w:hAnsi="Arial"/>
                <w:color w:val="111111"/>
                <w:sz w:val="19"/>
                <w:szCs w:val="19"/>
              </w:rPr>
              <w:t xml:space="preserve">⚡ Partial — connector supports it but requires user approval in chat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Multi-user governance / audit trail</w:t>
            </w:r>
          </w:p>
        </w:tc>
        <w:tc>
          <w:tcPr>
            <w:tcW w:type="dxa" w:w="576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80"/>
            </w:tcMar>
          </w:tcPr>
          <w:p>
            <w:r>
              <w:rPr>
                <w:rFonts w:ascii="Arial" w:cs="Arial" w:eastAsia="Arial" w:hAnsi="Arial"/>
                <w:color w:val="111111"/>
                <w:sz w:val="19"/>
                <w:szCs w:val="19"/>
              </w:rPr>
              <w:t xml:space="preserve">⚡ Not feasible — consumer tier data retention; no ZDR on Pro</w:t>
            </w:r>
          </w:p>
        </w:tc>
      </w:tr>
      <w:tr>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Scheduled weekly cash visibility report</w:t>
            </w:r>
          </w:p>
        </w:tc>
        <w:tc>
          <w:tcPr>
            <w:tcW w:type="dxa" w:w="57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Feasible via Claude Code scheduled task + Sheets connector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BEO → checklist / prep plan extraction</w:t>
            </w:r>
          </w:p>
        </w:tc>
        <w:tc>
          <w:tcPr>
            <w:tcW w:type="dxa" w:w="57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Feasible — large context handles full BEO documents</w:t>
            </w:r>
          </w:p>
        </w:tc>
      </w:tr>
    </w:tbl>
    <w:p>
      <w:pPr>
        <w:spacing w:after="0" w:before="100"/>
      </w:pPr>
      <w:r>
        <w:t xml:space="preserve"/>
      </w:r>
    </w:p>
    <w:p>
      <w:pPr>
        <w:pStyle w:val="Heading2"/>
        <w:spacing w:after="120" w:before="280"/>
      </w:pPr>
      <w:r>
        <w:rPr>
          <w:rFonts w:ascii="Arial" w:cs="Arial" w:eastAsia="Arial" w:hAnsi="Arial"/>
          <w:b/>
          <w:bCs/>
          <w:color w:val="2E5F9A"/>
          <w:sz w:val="28"/>
          <w:szCs w:val="28"/>
        </w:rPr>
        <w:t xml:space="preserve">4.3 Recommended Project Structure</w:t>
      </w:r>
    </w:p>
    <w:p>
      <w:pPr>
        <w:spacing w:after="80" w:before="80"/>
      </w:pPr>
      <w:r>
        <w:rPr>
          <w:rFonts w:ascii="Arial" w:cs="Arial" w:eastAsia="Arial" w:hAnsi="Arial"/>
          <w:color w:val="444444"/>
          <w:sz w:val="22"/>
          <w:szCs w:val="22"/>
        </w:rPr>
        <w:t xml:space="preserve">Organize Claude Pro around four persistent Projects, each with its own knowledge base and system instructions:</w:t>
      </w:r>
    </w:p>
    <w:p>
      <w:pPr>
        <w:spacing w:after="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Sales Project — pipeline templates, proposal formats, lead source taxonomy, Close CRM context</w:t>
      </w:r>
    </w:p>
    <w:p>
      <w:pPr>
        <w:pStyle w:val="ListParagraph"/>
        <w:numPr>
          <w:ilvl w:val="0"/>
          <w:numId w:val="2"/>
        </w:numPr>
        <w:spacing w:after="60" w:before="60"/>
      </w:pPr>
      <w:r>
        <w:rPr>
          <w:rFonts w:ascii="Arial" w:cs="Arial" w:eastAsia="Arial" w:hAnsi="Arial"/>
          <w:color w:val="444444"/>
          <w:sz w:val="22"/>
          <w:szCs w:val="22"/>
        </w:rPr>
        <w:t xml:space="preserve">Ops Project — BEO formats, event execution checklists, staffing schemas, venue SOP library</w:t>
      </w:r>
    </w:p>
    <w:p>
      <w:pPr>
        <w:pStyle w:val="ListParagraph"/>
        <w:numPr>
          <w:ilvl w:val="0"/>
          <w:numId w:val="2"/>
        </w:numPr>
        <w:spacing w:after="60" w:before="60"/>
      </w:pPr>
      <w:r>
        <w:rPr>
          <w:rFonts w:ascii="Arial" w:cs="Arial" w:eastAsia="Arial" w:hAnsi="Arial"/>
          <w:color w:val="444444"/>
          <w:sz w:val="22"/>
          <w:szCs w:val="22"/>
        </w:rPr>
        <w:t xml:space="preserve">Finance Project — cash visibility templates, labor report schemas, reimbursement policy, weekly CFO brief format</w:t>
      </w:r>
    </w:p>
    <w:p>
      <w:pPr>
        <w:pStyle w:val="ListParagraph"/>
        <w:numPr>
          <w:ilvl w:val="0"/>
          <w:numId w:val="2"/>
        </w:numPr>
        <w:spacing w:after="60" w:before="60"/>
      </w:pPr>
      <w:r>
        <w:rPr>
          <w:rFonts w:ascii="Arial" w:cs="Arial" w:eastAsia="Arial" w:hAnsi="Arial"/>
          <w:color w:val="444444"/>
          <w:sz w:val="22"/>
          <w:szCs w:val="22"/>
        </w:rPr>
        <w:t xml:space="preserve">Partners Project — venue/planner contact list, outreach cadence rules, relationship notes, referral attribution</w:t>
      </w:r>
    </w:p>
    <w:p>
      <w:pPr>
        <w:spacing w:after="0" w:before="100"/>
      </w:pPr>
      <w:r>
        <w:t xml:space="preserve"/>
      </w:r>
    </w:p>
    <w:p>
      <w:pPr>
        <w:pStyle w:val="Heading2"/>
        <w:spacing w:after="120" w:before="280"/>
      </w:pPr>
      <w:r>
        <w:rPr>
          <w:rFonts w:ascii="Arial" w:cs="Arial" w:eastAsia="Arial" w:hAnsi="Arial"/>
          <w:b/>
          <w:bCs/>
          <w:color w:val="2E5F9A"/>
          <w:sz w:val="28"/>
          <w:szCs w:val="28"/>
        </w:rPr>
        <w:t xml:space="preserve">4.4 Connector Limitations to Know</w:t>
      </w:r>
    </w:p>
    <w:p>
      <w:pPr>
        <w:pStyle w:val="ListParagraph"/>
        <w:numPr>
          <w:ilvl w:val="0"/>
          <w:numId w:val="2"/>
        </w:numPr>
        <w:spacing w:after="60" w:before="60"/>
      </w:pPr>
      <w:r>
        <w:rPr>
          <w:rFonts w:ascii="Arial" w:cs="Arial" w:eastAsia="Arial" w:hAnsi="Arial"/>
          <w:color w:val="444444"/>
          <w:sz w:val="22"/>
          <w:szCs w:val="22"/>
        </w:rPr>
        <w:t xml:space="preserve">Gmail: can draft but cannot send — human approval required for outbound email</w:t>
      </w:r>
    </w:p>
    <w:p>
      <w:pPr>
        <w:pStyle w:val="ListParagraph"/>
        <w:numPr>
          <w:ilvl w:val="0"/>
          <w:numId w:val="2"/>
        </w:numPr>
        <w:spacing w:after="60" w:before="60"/>
      </w:pPr>
      <w:r>
        <w:rPr>
          <w:rFonts w:ascii="Arial" w:cs="Arial" w:eastAsia="Arial" w:hAnsi="Arial"/>
          <w:color w:val="444444"/>
          <w:sz w:val="22"/>
          <w:szCs w:val="22"/>
        </w:rPr>
        <w:t xml:space="preserve">Drive: text extraction only — images embedded in Docs/Slides are not processed by connector</w:t>
      </w:r>
    </w:p>
    <w:p>
      <w:pPr>
        <w:pStyle w:val="ListParagraph"/>
        <w:numPr>
          <w:ilvl w:val="0"/>
          <w:numId w:val="2"/>
        </w:numPr>
        <w:spacing w:after="60" w:before="60"/>
      </w:pPr>
      <w:r>
        <w:rPr>
          <w:rFonts w:ascii="Arial" w:cs="Arial" w:eastAsia="Arial" w:hAnsi="Arial"/>
          <w:color w:val="444444"/>
          <w:sz w:val="22"/>
          <w:szCs w:val="22"/>
        </w:rPr>
        <w:t xml:space="preserve">Drive: Sheets accessed via CSV export; xlsx→Sheets conversion not supported</w:t>
      </w:r>
    </w:p>
    <w:p>
      <w:pPr>
        <w:pStyle w:val="ListParagraph"/>
        <w:numPr>
          <w:ilvl w:val="0"/>
          <w:numId w:val="2"/>
        </w:numPr>
        <w:spacing w:after="60" w:before="60"/>
      </w:pPr>
      <w:r>
        <w:rPr>
          <w:rFonts w:ascii="Arial" w:cs="Arial" w:eastAsia="Arial" w:hAnsi="Arial"/>
          <w:color w:val="444444"/>
          <w:sz w:val="22"/>
          <w:szCs w:val="22"/>
        </w:rPr>
        <w:t xml:space="preserve">Calendar: create/update/delete supported, but unattended write actions require user approval in chat</w:t>
      </w:r>
    </w:p>
    <w:p>
      <w:pPr>
        <w:pStyle w:val="ListParagraph"/>
        <w:numPr>
          <w:ilvl w:val="0"/>
          <w:numId w:val="2"/>
        </w:numPr>
        <w:spacing w:after="60" w:before="60"/>
      </w:pPr>
      <w:r>
        <w:rPr>
          <w:rFonts w:ascii="Arial" w:cs="Arial" w:eastAsia="Arial" w:hAnsi="Arial"/>
          <w:color w:val="444444"/>
          <w:sz w:val="22"/>
          <w:szCs w:val="22"/>
        </w:rPr>
        <w:t xml:space="preserve">Close CRM: no first-party connector — use remote MCP server (available on Pro) as the workaround</w:t>
      </w:r>
    </w:p>
    <w:p>
      <w:pPr>
        <w:spacing w:after="0" w:before="120"/>
      </w:pPr>
      <w:r>
        <w:t xml:space="preserve"/>
      </w:r>
    </w:p>
    <w:p>
      <w:r>
        <w:br w:type="page"/>
      </w:r>
    </w:p>
    <w:p>
      <w:pPr>
        <w:pStyle w:val="Heading1"/>
        <w:pBdr>
          <w:bottom w:val="single" w:color="2E5F9A" w:sz="8" w:space="6"/>
        </w:pBdr>
        <w:spacing w:after="160" w:before="360"/>
      </w:pPr>
      <w:r>
        <w:rPr>
          <w:rFonts w:ascii="Arial" w:cs="Arial" w:eastAsia="Arial" w:hAnsi="Arial"/>
          <w:b/>
          <w:bCs/>
          <w:color w:val="1B2A4A"/>
          <w:sz w:val="36"/>
          <w:szCs w:val="36"/>
        </w:rPr>
        <w:t xml:space="preserve">5. GPT Plus + Codex (via Openclaw) — STEM Execution Layer</w:t>
      </w:r>
    </w:p>
    <w:p>
      <w:pPr>
        <w:spacing w:after="80" w:before="80"/>
      </w:pPr>
      <w:r>
        <w:rPr>
          <w:rFonts w:ascii="Arial" w:cs="Arial" w:eastAsia="Arial" w:hAnsi="Arial"/>
          <w:color w:val="444444"/>
          <w:sz w:val="22"/>
          <w:szCs w:val="22"/>
        </w:rPr>
        <w:t xml:space="preserve">Codex inside Openclaw is the high-volume technical execution layer. The correct mental model: when running programmatically via OAuth through Openclaw, you are operating against API rate limits and token throughput — not the consumer UI caps that the GPT Plus research report focused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D7D4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IMPORTANT CORRECTION</w:t>
            </w:r>
          </w:p>
        </w:tc>
        <w:tc>
          <w:tcPr>
            <w:tcW w:type="dxa" w:w="8160"/>
            <w:tcBorders>
              <w:top w:val="single" w:color="CCCCCC" w:sz="1"/>
              <w:left w:val="single" w:color="CCCCCC" w:sz="1"/>
              <w:bottom w:val="single" w:color="CCCCCC" w:sz="1"/>
              <w:right w:val="single" w:color="CCCCCC" w:sz="1"/>
            </w:tcBorders>
            <w:shd w:fill="D6F0DE" w:val="clear"/>
            <w:tcMar>
              <w:top w:type="dxa" w:w="120"/>
              <w:left w:type="dxa" w:w="200"/>
              <w:bottom w:type="dxa" w:w="120"/>
              <w:right w:type="dxa" w:w="160"/>
            </w:tcMar>
          </w:tcPr>
          <w:p>
            <w:r>
              <w:rPr>
                <w:rFonts w:ascii="Arial" w:cs="Arial" w:eastAsia="Arial" w:hAnsi="Arial"/>
                <w:color w:val="111111"/>
                <w:sz w:val="21"/>
                <w:szCs w:val="21"/>
              </w:rPr>
              <w:t xml:space="preserve">The 40 agent message/month cap referenced in the research applies specifically to deep research mode in the ChatGPT UI. Programmatic Codex usage via Openclaw/OAuth operates on API token throughput, which is significantly more generous and scales with spend tier.</w:t>
            </w:r>
          </w:p>
        </w:tc>
      </w:tr>
    </w:tbl>
    <w:p>
      <w:pPr>
        <w:spacing w:after="0" w:before="100"/>
      </w:pPr>
      <w:r>
        <w:t xml:space="preserve"/>
      </w:r>
    </w:p>
    <w:p>
      <w:pPr>
        <w:pStyle w:val="Heading2"/>
        <w:spacing w:after="120" w:before="280"/>
      </w:pPr>
      <w:r>
        <w:rPr>
          <w:rFonts w:ascii="Arial" w:cs="Arial" w:eastAsia="Arial" w:hAnsi="Arial"/>
          <w:b/>
          <w:bCs/>
          <w:color w:val="2E5F9A"/>
          <w:sz w:val="28"/>
          <w:szCs w:val="28"/>
        </w:rPr>
        <w:t xml:space="preserve">5.1 Why Codex in Openclaw</w:t>
      </w:r>
    </w:p>
    <w:p>
      <w:pPr>
        <w:pStyle w:val="ListParagraph"/>
        <w:numPr>
          <w:ilvl w:val="0"/>
          <w:numId w:val="2"/>
        </w:numPr>
        <w:spacing w:after="60" w:before="60"/>
      </w:pPr>
      <w:r>
        <w:rPr>
          <w:rFonts w:ascii="Arial" w:cs="Arial" w:eastAsia="Arial" w:hAnsi="Arial"/>
          <w:color w:val="444444"/>
          <w:sz w:val="22"/>
          <w:szCs w:val="22"/>
        </w:rPr>
        <w:t xml:space="preserve">GPT Plus is generous with token usage via OAuth — best token-per-dollar of any layer in the stack</w:t>
      </w:r>
    </w:p>
    <w:p>
      <w:pPr>
        <w:pStyle w:val="ListParagraph"/>
        <w:numPr>
          <w:ilvl w:val="0"/>
          <w:numId w:val="2"/>
        </w:numPr>
        <w:spacing w:after="60" w:before="60"/>
      </w:pPr>
      <w:r>
        <w:rPr>
          <w:rFonts w:ascii="Arial" w:cs="Arial" w:eastAsia="Arial" w:hAnsi="Arial"/>
          <w:color w:val="444444"/>
          <w:sz w:val="22"/>
          <w:szCs w:val="22"/>
        </w:rPr>
        <w:t xml:space="preserve">Openclaw provides cron heartbeats, subagent orchestration, remote invocation, and a GUI surface</w:t>
      </w:r>
    </w:p>
    <w:p>
      <w:pPr>
        <w:pStyle w:val="ListParagraph"/>
        <w:numPr>
          <w:ilvl w:val="0"/>
          <w:numId w:val="2"/>
        </w:numPr>
        <w:spacing w:after="60" w:before="60"/>
      </w:pPr>
      <w:r>
        <w:rPr>
          <w:rFonts w:ascii="Arial" w:cs="Arial" w:eastAsia="Arial" w:hAnsi="Arial"/>
          <w:color w:val="444444"/>
          <w:sz w:val="22"/>
          <w:szCs w:val="22"/>
        </w:rPr>
        <w:t xml:space="preserve">Keeping Openclaw as gateway (not FTO) avoids file tree pollution from agent artifacts</w:t>
      </w:r>
    </w:p>
    <w:p>
      <w:pPr>
        <w:pStyle w:val="ListParagraph"/>
        <w:numPr>
          <w:ilvl w:val="0"/>
          <w:numId w:val="2"/>
        </w:numPr>
        <w:spacing w:after="60" w:before="60"/>
      </w:pPr>
      <w:r>
        <w:rPr>
          <w:rFonts w:ascii="Arial" w:cs="Arial" w:eastAsia="Arial" w:hAnsi="Arial"/>
          <w:color w:val="444444"/>
          <w:sz w:val="22"/>
          <w:szCs w:val="22"/>
        </w:rPr>
        <w:t xml:space="preserve">Codex is the strongest STEM/technical reasoning agent — routes the right work to the right model</w:t>
      </w:r>
    </w:p>
    <w:p>
      <w:pPr>
        <w:spacing w:after="0" w:before="100"/>
      </w:pPr>
      <w:r>
        <w:t xml:space="preserve"/>
      </w:r>
    </w:p>
    <w:p>
      <w:pPr>
        <w:pStyle w:val="Heading2"/>
        <w:spacing w:after="120" w:before="280"/>
      </w:pPr>
      <w:r>
        <w:rPr>
          <w:rFonts w:ascii="Arial" w:cs="Arial" w:eastAsia="Arial" w:hAnsi="Arial"/>
          <w:b/>
          <w:bCs/>
          <w:color w:val="2E5F9A"/>
          <w:sz w:val="28"/>
          <w:szCs w:val="28"/>
        </w:rPr>
        <w:t xml:space="preserve">5.2 What to Route to Codex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Task Type</w:t>
            </w:r>
          </w:p>
        </w:tc>
        <w:tc>
          <w:tcPr>
            <w:tcW w:type="dxa" w:w="400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Examples</w:t>
            </w:r>
          </w:p>
        </w:tc>
        <w:tc>
          <w:tcPr>
            <w:tcW w:type="dxa" w:w="296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Routing</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Complex calculations</w:t>
            </w:r>
          </w:p>
        </w:tc>
        <w:tc>
          <w:tcPr>
            <w:tcW w:type="dxa" w:w="4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Recipe scaling math, food cost optimization, labor allocation</w:t>
            </w:r>
          </w:p>
        </w:tc>
        <w:tc>
          <w:tcPr>
            <w:tcW w:type="dxa" w:w="29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Route to Codex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Code generation (technical)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Algorithms, optimization solvers, data transformation scripts</w:t>
            </w:r>
          </w:p>
        </w:tc>
        <w:tc>
          <w:tcPr>
            <w:tcW w:type="dxa" w:w="29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Route to Codex</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Structured data extraction</w:t>
            </w:r>
          </w:p>
        </w:tc>
        <w:tc>
          <w:tcPr>
            <w:tcW w:type="dxa" w:w="4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BEO parsing, invoice field extraction, timesheet normalization</w:t>
            </w:r>
          </w:p>
        </w:tc>
        <w:tc>
          <w:tcPr>
            <w:tcW w:type="dxa" w:w="29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Route to Codex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Event complexity scoring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Multi-factor scoring rubrics from historical event data</w:t>
            </w:r>
          </w:p>
        </w:tc>
        <w:tc>
          <w:tcPr>
            <w:tcW w:type="dxa" w:w="29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Route to Codex</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Staffing optimization</w:t>
            </w:r>
          </w:p>
        </w:tc>
        <w:tc>
          <w:tcPr>
            <w:tcW w:type="dxa" w:w="4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Constraint-based assignment across multiple events/locations</w:t>
            </w:r>
          </w:p>
        </w:tc>
        <w:tc>
          <w:tcPr>
            <w:tcW w:type="dxa" w:w="29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Route to Codex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Inventory forecasting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Demand prediction from upcoming event schedule</w:t>
            </w:r>
          </w:p>
        </w:tc>
        <w:tc>
          <w:tcPr>
            <w:tcW w:type="dxa" w:w="296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80"/>
            </w:tcMar>
          </w:tcPr>
          <w:p>
            <w:r>
              <w:rPr>
                <w:rFonts w:ascii="Arial" w:cs="Arial" w:eastAsia="Arial" w:hAnsi="Arial"/>
                <w:color w:val="111111"/>
                <w:sz w:val="19"/>
                <w:szCs w:val="19"/>
              </w:rPr>
              <w:t xml:space="preserve">✅ Route to Codex</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Proposal language / tone</w:t>
            </w:r>
          </w:p>
        </w:tc>
        <w:tc>
          <w:tcPr>
            <w:tcW w:type="dxa" w:w="4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Client-facing communication, relationship nuance</w:t>
            </w:r>
          </w:p>
        </w:tc>
        <w:tc>
          <w:tcPr>
            <w:tcW w:type="dxa" w:w="2960"/>
            <w:tcBorders>
              <w:top w:val="single" w:color="CCCCCC" w:sz="1"/>
              <w:left w:val="single" w:color="CCCCCC" w:sz="1"/>
              <w:bottom w:val="single" w:color="CCCCCC" w:sz="1"/>
              <w:right w:val="single" w:color="CCCCCC" w:sz="1"/>
            </w:tcBorders>
            <w:shd w:fill="D4F0F0" w:val="clear"/>
            <w:tcMar>
              <w:top w:type="dxa" w:w="80"/>
              <w:left w:type="dxa" w:w="120"/>
              <w:bottom w:type="dxa" w:w="80"/>
              <w:right w:type="dxa" w:w="80"/>
            </w:tcMar>
          </w:tcPr>
          <w:p>
            <w:r>
              <w:rPr>
                <w:rFonts w:ascii="Arial" w:cs="Arial" w:eastAsia="Arial" w:hAnsi="Arial"/>
                <w:color w:val="111111"/>
                <w:sz w:val="19"/>
                <w:szCs w:val="19"/>
              </w:rPr>
              <w:t xml:space="preserve">🔗 Route to Claude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Operational judgment calls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Ambiguous situations requiring context + empathy</w:t>
            </w:r>
          </w:p>
        </w:tc>
        <w:tc>
          <w:tcPr>
            <w:tcW w:type="dxa" w:w="2960"/>
            <w:tcBorders>
              <w:top w:val="single" w:color="CCCCCC" w:sz="1"/>
              <w:left w:val="single" w:color="CCCCCC" w:sz="1"/>
              <w:bottom w:val="single" w:color="CCCCCC" w:sz="1"/>
              <w:right w:val="single" w:color="CCCCCC" w:sz="1"/>
            </w:tcBorders>
            <w:shd w:fill="D4F0F0" w:val="clear"/>
            <w:tcMar>
              <w:top w:type="dxa" w:w="80"/>
              <w:left w:type="dxa" w:w="120"/>
              <w:bottom w:type="dxa" w:w="80"/>
              <w:right w:type="dxa" w:w="80"/>
            </w:tcMar>
          </w:tcPr>
          <w:p>
            <w:r>
              <w:rPr>
                <w:rFonts w:ascii="Arial" w:cs="Arial" w:eastAsia="Arial" w:hAnsi="Arial"/>
                <w:color w:val="111111"/>
                <w:sz w:val="19"/>
                <w:szCs w:val="19"/>
              </w:rPr>
              <w:t xml:space="preserve">🔗 Route to Claude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SOP documentation</w:t>
            </w:r>
          </w:p>
        </w:tc>
        <w:tc>
          <w:tcPr>
            <w:tcW w:type="dxa" w:w="4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Process writing, training materials, SOW language</w:t>
            </w:r>
          </w:p>
        </w:tc>
        <w:tc>
          <w:tcPr>
            <w:tcW w:type="dxa" w:w="2960"/>
            <w:tcBorders>
              <w:top w:val="single" w:color="CCCCCC" w:sz="1"/>
              <w:left w:val="single" w:color="CCCCCC" w:sz="1"/>
              <w:bottom w:val="single" w:color="CCCCCC" w:sz="1"/>
              <w:right w:val="single" w:color="CCCCCC" w:sz="1"/>
            </w:tcBorders>
            <w:shd w:fill="D4F0F0" w:val="clear"/>
            <w:tcMar>
              <w:top w:type="dxa" w:w="80"/>
              <w:left w:type="dxa" w:w="120"/>
              <w:bottom w:type="dxa" w:w="80"/>
              <w:right w:type="dxa" w:w="80"/>
            </w:tcMar>
          </w:tcPr>
          <w:p>
            <w:r>
              <w:rPr>
                <w:rFonts w:ascii="Arial" w:cs="Arial" w:eastAsia="Arial" w:hAnsi="Arial"/>
                <w:color w:val="111111"/>
                <w:sz w:val="19"/>
                <w:szCs w:val="19"/>
              </w:rPr>
              <w:t xml:space="preserve">🔗 Route to Claude</w:t>
            </w:r>
          </w:p>
        </w:tc>
      </w:tr>
    </w:tbl>
    <w:p>
      <w:pPr>
        <w:spacing w:after="0" w:before="100"/>
      </w:pPr>
      <w:r>
        <w:t xml:space="preserve"/>
      </w:r>
    </w:p>
    <w:p>
      <w:pPr>
        <w:pStyle w:val="Heading2"/>
        <w:spacing w:after="120" w:before="280"/>
      </w:pPr>
      <w:r>
        <w:rPr>
          <w:rFonts w:ascii="Arial" w:cs="Arial" w:eastAsia="Arial" w:hAnsi="Arial"/>
          <w:b/>
          <w:bCs/>
          <w:color w:val="2E5F9A"/>
          <w:sz w:val="28"/>
          <w:szCs w:val="28"/>
        </w:rPr>
        <w:t xml:space="preserve">5.3 Openclaw Architecture Role</w:t>
      </w:r>
    </w:p>
    <w:p>
      <w:pPr>
        <w:pStyle w:val="ListParagraph"/>
        <w:numPr>
          <w:ilvl w:val="0"/>
          <w:numId w:val="2"/>
        </w:numPr>
        <w:spacing w:after="60" w:before="60"/>
      </w:pPr>
      <w:r>
        <w:rPr>
          <w:rFonts w:ascii="Arial" w:cs="Arial" w:eastAsia="Arial" w:hAnsi="Arial"/>
          <w:color w:val="444444"/>
          <w:sz w:val="22"/>
          <w:szCs w:val="22"/>
        </w:rPr>
        <w:t xml:space="preserve">Cron heartbeats fire scheduled jobs → triggers Cloud Run endpoints in GCC via webhook</w:t>
      </w:r>
    </w:p>
    <w:p>
      <w:pPr>
        <w:pStyle w:val="ListParagraph"/>
        <w:numPr>
          <w:ilvl w:val="0"/>
          <w:numId w:val="2"/>
        </w:numPr>
        <w:spacing w:after="60" w:before="60"/>
      </w:pPr>
      <w:r>
        <w:rPr>
          <w:rFonts w:ascii="Arial" w:cs="Arial" w:eastAsia="Arial" w:hAnsi="Arial"/>
          <w:color w:val="444444"/>
          <w:sz w:val="22"/>
          <w:szCs w:val="22"/>
        </w:rPr>
        <w:t xml:space="preserve">Subagents handle parallel technical workloads without burning Claude's quota</w:t>
      </w:r>
    </w:p>
    <w:p>
      <w:pPr>
        <w:pStyle w:val="ListParagraph"/>
        <w:numPr>
          <w:ilvl w:val="0"/>
          <w:numId w:val="2"/>
        </w:numPr>
        <w:spacing w:after="60" w:before="60"/>
      </w:pPr>
      <w:r>
        <w:rPr>
          <w:rFonts w:ascii="Arial" w:cs="Arial" w:eastAsia="Arial" w:hAnsi="Arial"/>
          <w:color w:val="444444"/>
          <w:sz w:val="22"/>
          <w:szCs w:val="22"/>
        </w:rPr>
        <w:t xml:space="preserve">Remote GUI gives visibility into agent runs without needing to be in Cursor</w:t>
      </w:r>
    </w:p>
    <w:p>
      <w:pPr>
        <w:pStyle w:val="ListParagraph"/>
        <w:numPr>
          <w:ilvl w:val="0"/>
          <w:numId w:val="2"/>
        </w:numPr>
        <w:spacing w:after="60" w:before="60"/>
      </w:pPr>
      <w:r>
        <w:rPr>
          <w:rFonts w:ascii="Arial" w:cs="Arial" w:eastAsia="Arial" w:hAnsi="Arial"/>
          <w:color w:val="444444"/>
          <w:sz w:val="22"/>
          <w:szCs w:val="22"/>
        </w:rPr>
        <w:t xml:space="preserve">Openclaw directory stays clean — it's a gateway, not a file home 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5B3FA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FILE TREE DISCIPLINE</w:t>
            </w:r>
          </w:p>
        </w:tc>
        <w:tc>
          <w:tcPr>
            <w:tcW w:type="dxa" w:w="8160"/>
            <w:tcBorders>
              <w:top w:val="single" w:color="CCCCCC" w:sz="1"/>
              <w:left w:val="single" w:color="CCCCCC" w:sz="1"/>
              <w:bottom w:val="single" w:color="CCCCCC" w:sz="1"/>
              <w:right w:val="single" w:color="CCCCCC" w:sz="1"/>
            </w:tcBorders>
            <w:shd w:fill="EAE4F7" w:val="clear"/>
            <w:tcMar>
              <w:top w:type="dxa" w:w="120"/>
              <w:left w:type="dxa" w:w="200"/>
              <w:bottom w:type="dxa" w:w="120"/>
              <w:right w:type="dxa" w:w="160"/>
            </w:tcMar>
          </w:tcPr>
          <w:p>
            <w:r>
              <w:rPr>
                <w:rFonts w:ascii="Arial" w:cs="Arial" w:eastAsia="Arial" w:hAnsi="Arial"/>
                <w:color w:val="111111"/>
                <w:sz w:val="21"/>
                <w:szCs w:val="21"/>
              </w:rPr>
              <w:t xml:space="preserve">The research correctly flags that using Openclaw's directory as the main file tree leads to agent artifacts polluting working directories. Cursor owns the file tree. Openclaw is a gateway that fires into GCC and routes work to agents. These roles do not overlap.</w:t>
            </w:r>
          </w:p>
        </w:tc>
      </w:tr>
    </w:tbl>
    <w:p>
      <w:pPr>
        <w:spacing w:after="0" w:before="120"/>
      </w:pPr>
      <w:r>
        <w:t xml:space="preserve"/>
      </w:r>
    </w:p>
    <w:p>
      <w:r>
        <w:br w:type="page"/>
      </w:r>
    </w:p>
    <w:p>
      <w:pPr>
        <w:pStyle w:val="Heading1"/>
        <w:pBdr>
          <w:bottom w:val="single" w:color="2E5F9A" w:sz="8" w:space="6"/>
        </w:pBdr>
        <w:spacing w:after="160" w:before="360"/>
      </w:pPr>
      <w:r>
        <w:rPr>
          <w:rFonts w:ascii="Arial" w:cs="Arial" w:eastAsia="Arial" w:hAnsi="Arial"/>
          <w:b/>
          <w:bCs/>
          <w:color w:val="1B2A4A"/>
          <w:sz w:val="36"/>
          <w:szCs w:val="36"/>
        </w:rPr>
        <w:t xml:space="preserve">6. How the Layers Connect — Handoff Architecture</w:t>
      </w:r>
    </w:p>
    <w:p>
      <w:pPr>
        <w:spacing w:after="80" w:before="80"/>
      </w:pPr>
      <w:r>
        <w:rPr>
          <w:rFonts w:ascii="Arial" w:cs="Arial" w:eastAsia="Arial" w:hAnsi="Arial"/>
          <w:color w:val="444444"/>
          <w:sz w:val="22"/>
          <w:szCs w:val="22"/>
        </w:rPr>
        <w:t xml:space="preserve">This is the answer to the core orchestration question: when a trigger fires, where does the work land?</w:t>
      </w:r>
    </w:p>
    <w:p>
      <w:pPr>
        <w:spacing w:after="0" w:before="100"/>
      </w:pPr>
      <w:r>
        <w:t xml:space="preserve"/>
      </w:r>
    </w:p>
    <w:p>
      <w:pPr>
        <w:pStyle w:val="Heading2"/>
        <w:spacing w:after="120" w:before="280"/>
      </w:pPr>
      <w:r>
        <w:rPr>
          <w:rFonts w:ascii="Arial" w:cs="Arial" w:eastAsia="Arial" w:hAnsi="Arial"/>
          <w:b/>
          <w:bCs/>
          <w:color w:val="2E5F9A"/>
          <w:sz w:val="28"/>
          <w:szCs w:val="28"/>
        </w:rPr>
        <w:t xml:space="preserve">6.1 The Event Flow</w:t>
      </w:r>
    </w:p>
    <w:p>
      <w:pPr>
        <w:spacing w:after="80" w:before="80"/>
      </w:pPr>
      <w:r>
        <w:rPr>
          <w:rFonts w:ascii="Arial" w:cs="Arial" w:eastAsia="Arial" w:hAnsi="Arial"/>
          <w:color w:val="444444"/>
          <w:sz w:val="22"/>
          <w:szCs w:val="22"/>
        </w:rPr>
        <w:t xml:space="preserve">A canonical end-to-end flow through the stack:</w:t>
      </w:r>
    </w:p>
    <w:p>
      <w:pPr>
        <w:spacing w:after="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Trigger fires (cron from Openclaw, webhook from Close, form submit, calendar change)</w:t>
      </w:r>
    </w:p>
    <w:p>
      <w:pPr>
        <w:pStyle w:val="ListParagraph"/>
        <w:numPr>
          <w:ilvl w:val="0"/>
          <w:numId w:val="2"/>
        </w:numPr>
        <w:spacing w:after="60" w:before="60"/>
      </w:pPr>
      <w:r>
        <w:rPr>
          <w:rFonts w:ascii="Arial" w:cs="Arial" w:eastAsia="Arial" w:hAnsi="Arial"/>
          <w:color w:val="444444"/>
          <w:sz w:val="22"/>
          <w:szCs w:val="22"/>
        </w:rPr>
        <w:t xml:space="preserve">Hits a Cloud Run endpoint in GCC — validates, writes to Firestore, publishes Pub/Sub event</w:t>
      </w:r>
    </w:p>
    <w:p>
      <w:pPr>
        <w:pStyle w:val="ListParagraph"/>
        <w:numPr>
          <w:ilvl w:val="0"/>
          <w:numId w:val="2"/>
        </w:numPr>
        <w:spacing w:after="60" w:before="60"/>
      </w:pPr>
      <w:r>
        <w:rPr>
          <w:rFonts w:ascii="Arial" w:cs="Arial" w:eastAsia="Arial" w:hAnsi="Arial"/>
          <w:color w:val="444444"/>
          <w:sz w:val="22"/>
          <w:szCs w:val="22"/>
        </w:rPr>
        <w:t xml:space="preserve">Pub/Sub triggers Workflows orchestration for the job type</w:t>
      </w:r>
    </w:p>
    <w:p>
      <w:pPr>
        <w:pStyle w:val="ListParagraph"/>
        <w:numPr>
          <w:ilvl w:val="0"/>
          <w:numId w:val="2"/>
        </w:numPr>
        <w:spacing w:after="60" w:before="60"/>
      </w:pPr>
      <w:r>
        <w:rPr>
          <w:rFonts w:ascii="Arial" w:cs="Arial" w:eastAsia="Arial" w:hAnsi="Arial"/>
          <w:color w:val="444444"/>
          <w:sz w:val="22"/>
          <w:szCs w:val="22"/>
        </w:rPr>
        <w:t xml:space="preserve">Workflows routes to downstream services:</w:t>
      </w:r>
    </w:p>
    <w:p>
      <w:pPr>
        <w:pStyle w:val="ListParagraph"/>
        <w:numPr>
          <w:ilvl w:val="1"/>
          <w:numId w:val="2"/>
        </w:numPr>
        <w:spacing w:after="60" w:before="60"/>
      </w:pPr>
      <w:r>
        <w:rPr>
          <w:rFonts w:ascii="Arial" w:cs="Arial" w:eastAsia="Arial" w:hAnsi="Arial"/>
          <w:color w:val="444444"/>
          <w:sz w:val="22"/>
          <w:szCs w:val="22"/>
        </w:rPr>
        <w:t xml:space="preserve">→ Intelligence tasks (drafts, analysis, summaries) → Claude API call</w:t>
      </w:r>
    </w:p>
    <w:p>
      <w:pPr>
        <w:pStyle w:val="ListParagraph"/>
        <w:numPr>
          <w:ilvl w:val="1"/>
          <w:numId w:val="2"/>
        </w:numPr>
        <w:spacing w:after="60" w:before="60"/>
      </w:pPr>
      <w:r>
        <w:rPr>
          <w:rFonts w:ascii="Arial" w:cs="Arial" w:eastAsia="Arial" w:hAnsi="Arial"/>
          <w:color w:val="444444"/>
          <w:sz w:val="22"/>
          <w:szCs w:val="22"/>
        </w:rPr>
        <w:t xml:space="preserve">→ STEM/technical tasks (calculations, parsing, optimization) → Codex via Openclaw</w:t>
      </w:r>
    </w:p>
    <w:p>
      <w:pPr>
        <w:pStyle w:val="ListParagraph"/>
        <w:numPr>
          <w:ilvl w:val="1"/>
          <w:numId w:val="2"/>
        </w:numPr>
        <w:spacing w:after="60" w:before="60"/>
      </w:pPr>
      <w:r>
        <w:rPr>
          <w:rFonts w:ascii="Arial" w:cs="Arial" w:eastAsia="Arial" w:hAnsi="Arial"/>
          <w:color w:val="444444"/>
          <w:sz w:val="22"/>
          <w:szCs w:val="22"/>
        </w:rPr>
        <w:t xml:space="preserve">→ Google Workspace writes (Calendar, Sheets, Gmail draft) → direct API calls</w:t>
      </w:r>
    </w:p>
    <w:p>
      <w:pPr>
        <w:pStyle w:val="ListParagraph"/>
        <w:numPr>
          <w:ilvl w:val="1"/>
          <w:numId w:val="2"/>
        </w:numPr>
        <w:spacing w:after="60" w:before="60"/>
      </w:pPr>
      <w:r>
        <w:rPr>
          <w:rFonts w:ascii="Arial" w:cs="Arial" w:eastAsia="Arial" w:hAnsi="Arial"/>
          <w:color w:val="444444"/>
          <w:sz w:val="22"/>
          <w:szCs w:val="22"/>
        </w:rPr>
        <w:t xml:space="preserve">→ Retryable side-effects (email send, CRM update) → Cloud Tasks queue</w:t>
      </w:r>
    </w:p>
    <w:p>
      <w:pPr>
        <w:pStyle w:val="ListParagraph"/>
        <w:numPr>
          <w:ilvl w:val="0"/>
          <w:numId w:val="2"/>
        </w:numPr>
        <w:spacing w:after="60" w:before="60"/>
      </w:pPr>
      <w:r>
        <w:rPr>
          <w:rFonts w:ascii="Arial" w:cs="Arial" w:eastAsia="Arial" w:hAnsi="Arial"/>
          <w:color w:val="444444"/>
          <w:sz w:val="22"/>
          <w:szCs w:val="22"/>
        </w:rPr>
        <w:t xml:space="preserve">Results write back to Firestore; Slack notification fires on completion</w:t>
      </w:r>
    </w:p>
    <w:p>
      <w:pPr>
        <w:pStyle w:val="ListParagraph"/>
        <w:numPr>
          <w:ilvl w:val="0"/>
          <w:numId w:val="2"/>
        </w:numPr>
        <w:spacing w:after="60" w:before="60"/>
      </w:pPr>
      <w:r>
        <w:rPr>
          <w:rFonts w:ascii="Arial" w:cs="Arial" w:eastAsia="Arial" w:hAnsi="Arial"/>
          <w:color w:val="444444"/>
          <w:sz w:val="22"/>
          <w:szCs w:val="22"/>
        </w:rPr>
        <w:t xml:space="preserve">Cowork scheduled sweeps run independently against Drive/Calendar; produce digests into Projects</w:t>
      </w:r>
    </w:p>
    <w:p>
      <w:pPr>
        <w:spacing w:after="0" w:before="100"/>
      </w:pPr>
      <w:r>
        <w:t xml:space="preserve"/>
      </w:r>
    </w:p>
    <w:p>
      <w:pPr>
        <w:pStyle w:val="Heading2"/>
        <w:spacing w:after="120" w:before="280"/>
      </w:pPr>
      <w:r>
        <w:rPr>
          <w:rFonts w:ascii="Arial" w:cs="Arial" w:eastAsia="Arial" w:hAnsi="Arial"/>
          <w:b/>
          <w:bCs/>
          <w:color w:val="2E5F9A"/>
          <w:sz w:val="28"/>
          <w:szCs w:val="28"/>
        </w:rPr>
        <w:t xml:space="preserve">6.2 Routing Logic by Task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Where It Lands</w:t>
            </w:r>
          </w:p>
        </w:tc>
        <w:tc>
          <w:tcPr>
            <w:tcW w:type="dxa" w:w="376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AI Layer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New lead from Close webhook</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GCC (Cloud Run → Pub/Sub → Workflows)</w:t>
            </w:r>
          </w:p>
        </w:tc>
        <w:tc>
          <w:tcPr>
            <w:tcW w:type="dxa" w:w="3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Claude: draft follow-up proposal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Weekly ops briefing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Cowork scheduled sweep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Claude: generate digest from Calendar + Drive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BEO received → event setup</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GCC (Workflows)</w:t>
            </w:r>
          </w:p>
        </w:tc>
        <w:tc>
          <w:tcPr>
            <w:tcW w:type="dxa" w:w="3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Codex: extract structured fields; Claude: generate checklist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Prep list generation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GCC (Cloud Scheduler → Workflows)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Codex: scale recipes; GCC: push to Sheets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Labor report (weekly)</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GCC (Cloud Scheduler)</w:t>
            </w:r>
          </w:p>
        </w:tc>
        <w:tc>
          <w:tcPr>
            <w:tcW w:type="dxa" w:w="3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Claude: analyze timesheet CSV, flag anomalies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Receipt reimbursement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GCC (Vision API) + Claude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Claude: structured extraction + categorization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Staffing optimization</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GCC (Workflows)</w:t>
            </w:r>
          </w:p>
        </w:tc>
        <w:tc>
          <w:tcPr>
            <w:tcW w:type="dxa" w:w="3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Codex: constraint solver; GCC: write to Calendar/Sheets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Venue outreach cadence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Cowork or GCC (Scheduler)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Claude: generate email drafts per venue rep</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Invoice generation</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GCC (Cloud Run → Cloud Storage → Gmail)</w:t>
            </w:r>
          </w:p>
        </w:tc>
        <w:tc>
          <w:tcPr>
            <w:tcW w:type="dxa" w:w="3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GCC: PDF generation and send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Pipeline forecast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Claude Pro (scheduled task)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Claude: narrative forecast from Sheets export</w:t>
            </w:r>
          </w:p>
        </w:tc>
      </w:tr>
    </w:tbl>
    <w:p>
      <w:pPr>
        <w:spacing w:after="0" w:before="100"/>
      </w:pPr>
      <w:r>
        <w:t xml:space="preserve"/>
      </w:r>
    </w:p>
    <w:p>
      <w:pPr>
        <w:pStyle w:val="Heading2"/>
        <w:spacing w:after="120" w:before="280"/>
      </w:pPr>
      <w:r>
        <w:rPr>
          <w:rFonts w:ascii="Arial" w:cs="Arial" w:eastAsia="Arial" w:hAnsi="Arial"/>
          <w:b/>
          <w:bCs/>
          <w:color w:val="2E5F9A"/>
          <w:sz w:val="28"/>
          <w:szCs w:val="28"/>
        </w:rPr>
        <w:t xml:space="preserve">6.3 Priority Build Sequence</w:t>
      </w:r>
    </w:p>
    <w:p>
      <w:pPr>
        <w:spacing w:after="80" w:before="80"/>
      </w:pPr>
      <w:r>
        <w:rPr>
          <w:rFonts w:ascii="Arial" w:cs="Arial" w:eastAsia="Arial" w:hAnsi="Arial"/>
          <w:color w:val="444444"/>
          <w:sz w:val="22"/>
          <w:szCs w:val="22"/>
        </w:rPr>
        <w:t xml:space="preserve">Based on the research, this is the right order of operations:</w:t>
      </w:r>
    </w:p>
    <w:p>
      <w:pPr>
        <w:spacing w:after="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Phase 1 — Stabilize knowledge: Build four Claude Pro Projects (Sales/Ops/Finance/Partners). Standardize artifact formats (event brief, shopping list, labor report, weekly pack).</w:t>
      </w:r>
    </w:p>
    <w:p>
      <w:pPr>
        <w:pStyle w:val="ListParagraph"/>
        <w:numPr>
          <w:ilvl w:val="0"/>
          <w:numId w:val="2"/>
        </w:numPr>
        <w:spacing w:after="60" w:before="60"/>
      </w:pPr>
      <w:r>
        <w:rPr>
          <w:rFonts w:ascii="Arial" w:cs="Arial" w:eastAsia="Arial" w:hAnsi="Arial"/>
          <w:color w:val="444444"/>
          <w:sz w:val="22"/>
          <w:szCs w:val="22"/>
        </w:rPr>
        <w:t xml:space="preserve">Phase 2 — Automate recurring reporting: Deploy Cloud Scheduler + Claude Code scheduled tasks for daily calendar digest and weekly ops pack. Harden Workspace connectors.</w:t>
      </w:r>
    </w:p>
    <w:p>
      <w:pPr>
        <w:pStyle w:val="ListParagraph"/>
        <w:numPr>
          <w:ilvl w:val="0"/>
          <w:numId w:val="2"/>
        </w:numPr>
        <w:spacing w:after="60" w:before="60"/>
      </w:pPr>
      <w:r>
        <w:rPr>
          <w:rFonts w:ascii="Arial" w:cs="Arial" w:eastAsia="Arial" w:hAnsi="Arial"/>
          <w:color w:val="444444"/>
          <w:sz w:val="22"/>
          <w:szCs w:val="22"/>
        </w:rPr>
        <w:t xml:space="preserve">Phase 3 — Integration backbone: Build Close CRM webhook receiver (Cloud Run) → Pub/Sub pipeline. This is the highest-leverage first GCC integration since it drives the most downstream automation.</w:t>
      </w:r>
    </w:p>
    <w:p>
      <w:pPr>
        <w:pStyle w:val="ListParagraph"/>
        <w:numPr>
          <w:ilvl w:val="0"/>
          <w:numId w:val="2"/>
        </w:numPr>
        <w:spacing w:after="60" w:before="60"/>
      </w:pPr>
      <w:r>
        <w:rPr>
          <w:rFonts w:ascii="Arial" w:cs="Arial" w:eastAsia="Arial" w:hAnsi="Arial"/>
          <w:color w:val="444444"/>
          <w:sz w:val="22"/>
          <w:szCs w:val="22"/>
        </w:rPr>
        <w:t xml:space="preserve">Phase 4 — Full orchestration: Wire Workflows to Claude API + Codex for intelligent task routing. Add MCP connectors for remaining SaaS tools.</w:t>
      </w:r>
    </w:p>
    <w:p>
      <w:pPr>
        <w:pStyle w:val="ListParagraph"/>
        <w:numPr>
          <w:ilvl w:val="0"/>
          <w:numId w:val="2"/>
        </w:numPr>
        <w:spacing w:after="60" w:before="60"/>
      </w:pPr>
      <w:r>
        <w:rPr>
          <w:rFonts w:ascii="Arial" w:cs="Arial" w:eastAsia="Arial" w:hAnsi="Arial"/>
          <w:color w:val="444444"/>
          <w:sz w:val="22"/>
          <w:szCs w:val="22"/>
        </w:rPr>
        <w:t xml:space="preserve">Phase 5 — Customer-facing (if needed): Menus + ordering + payments. Keep PCI scope minimal with hosted payment provider approach.</w:t>
      </w:r>
    </w:p>
    <w:p>
      <w:pPr>
        <w:spacing w:after="0" w:before="120"/>
      </w:pPr>
      <w:r>
        <w:t xml:space="preserve"/>
      </w:r>
    </w:p>
    <w:p>
      <w:r>
        <w:br w:type="page"/>
      </w:r>
    </w:p>
    <w:p>
      <w:pPr>
        <w:pStyle w:val="Heading1"/>
        <w:pBdr>
          <w:bottom w:val="single" w:color="2E5F9A" w:sz="8" w:space="6"/>
        </w:pBdr>
        <w:spacing w:after="160" w:before="360"/>
      </w:pPr>
      <w:r>
        <w:rPr>
          <w:rFonts w:ascii="Arial" w:cs="Arial" w:eastAsia="Arial" w:hAnsi="Arial"/>
          <w:b/>
          <w:bCs/>
          <w:color w:val="1B2A4A"/>
          <w:sz w:val="36"/>
          <w:szCs w:val="36"/>
        </w:rPr>
        <w:t xml:space="preserve">7. Known Limitations &amp; Gaps</w:t>
      </w:r>
    </w:p>
    <w:p>
      <w:pPr>
        <w:spacing w:after="0" w:before="60"/>
      </w:pPr>
      <w:r>
        <w:t xml:space="preserve"/>
      </w:r>
    </w:p>
    <w:p>
      <w:pPr>
        <w:pStyle w:val="Heading2"/>
        <w:spacing w:after="120" w:before="280"/>
      </w:pPr>
      <w:r>
        <w:rPr>
          <w:rFonts w:ascii="Arial" w:cs="Arial" w:eastAsia="Arial" w:hAnsi="Arial"/>
          <w:b/>
          <w:bCs/>
          <w:color w:val="2E5F9A"/>
          <w:sz w:val="28"/>
          <w:szCs w:val="28"/>
        </w:rPr>
        <w:t xml:space="preserve">7.1 Things No Subscription Covers Out of the Box</w:t>
      </w:r>
    </w:p>
    <w:p>
      <w:pPr>
        <w:pStyle w:val="ListParagraph"/>
        <w:numPr>
          <w:ilvl w:val="0"/>
          <w:numId w:val="2"/>
        </w:numPr>
        <w:spacing w:after="60" w:before="60"/>
      </w:pPr>
      <w:r>
        <w:rPr>
          <w:rFonts w:ascii="Arial" w:cs="Arial" w:eastAsia="Arial" w:hAnsi="Arial"/>
          <w:color w:val="444444"/>
          <w:sz w:val="22"/>
          <w:szCs w:val="22"/>
        </w:rPr>
        <w:t xml:space="preserve">Event-driven automation (webhooks) — requires GCC runtime; not available in Claude Pro or GPT Plus consumer tiers</w:t>
      </w:r>
    </w:p>
    <w:p>
      <w:pPr>
        <w:pStyle w:val="ListParagraph"/>
        <w:numPr>
          <w:ilvl w:val="0"/>
          <w:numId w:val="2"/>
        </w:numPr>
        <w:spacing w:after="60" w:before="60"/>
      </w:pPr>
      <w:r>
        <w:rPr>
          <w:rFonts w:ascii="Arial" w:cs="Arial" w:eastAsia="Arial" w:hAnsi="Arial"/>
          <w:color w:val="444444"/>
          <w:sz w:val="22"/>
          <w:szCs w:val="22"/>
        </w:rPr>
        <w:t xml:space="preserve">Zero Data Retention (ZDR) — commercial API arrangement only; consumer Pro tiers have 30-day retention by default (5-year if model improvement is on)</w:t>
      </w:r>
    </w:p>
    <w:p>
      <w:pPr>
        <w:pStyle w:val="ListParagraph"/>
        <w:numPr>
          <w:ilvl w:val="0"/>
          <w:numId w:val="2"/>
        </w:numPr>
        <w:spacing w:after="60" w:before="60"/>
      </w:pPr>
      <w:r>
        <w:rPr>
          <w:rFonts w:ascii="Arial" w:cs="Arial" w:eastAsia="Arial" w:hAnsi="Arial"/>
          <w:color w:val="444444"/>
          <w:sz w:val="22"/>
          <w:szCs w:val="22"/>
        </w:rPr>
        <w:t xml:space="preserve">Multi-user governance / audit trail — neither Claude Pro nor GPT Plus provide this; needs GCC + proper logging</w:t>
      </w:r>
    </w:p>
    <w:p>
      <w:pPr>
        <w:pStyle w:val="ListParagraph"/>
        <w:numPr>
          <w:ilvl w:val="0"/>
          <w:numId w:val="2"/>
        </w:numPr>
        <w:spacing w:after="60" w:before="60"/>
      </w:pPr>
      <w:r>
        <w:rPr>
          <w:rFonts w:ascii="Arial" w:cs="Arial" w:eastAsia="Arial" w:hAnsi="Arial"/>
          <w:color w:val="444444"/>
          <w:sz w:val="22"/>
          <w:szCs w:val="22"/>
        </w:rPr>
        <w:t xml:space="preserve">Native Anthropic embeddings — Anthropic does not offer an embedding model; use Voyage AI or another provider for RAG over menus/BEOs/SOPs</w:t>
      </w:r>
    </w:p>
    <w:p>
      <w:pPr>
        <w:pStyle w:val="ListParagraph"/>
        <w:numPr>
          <w:ilvl w:val="0"/>
          <w:numId w:val="2"/>
        </w:numPr>
        <w:spacing w:after="60" w:before="60"/>
      </w:pPr>
      <w:r>
        <w:rPr>
          <w:rFonts w:ascii="Arial" w:cs="Arial" w:eastAsia="Arial" w:hAnsi="Arial"/>
          <w:color w:val="444444"/>
          <w:sz w:val="22"/>
          <w:szCs w:val="22"/>
        </w:rPr>
        <w:t xml:space="preserve">Transactional payment processing — PCI scope requires a hosted/embedded payments provider (Stripe recommended); never pass cardholder data through any AI prompt</w:t>
      </w:r>
    </w:p>
    <w:p>
      <w:pPr>
        <w:spacing w:after="0" w:before="80"/>
      </w:pPr>
      <w:r>
        <w:t xml:space="preserve"/>
      </w:r>
    </w:p>
    <w:p>
      <w:pPr>
        <w:pStyle w:val="Heading2"/>
        <w:spacing w:after="120" w:before="280"/>
      </w:pPr>
      <w:r>
        <w:rPr>
          <w:rFonts w:ascii="Arial" w:cs="Arial" w:eastAsia="Arial" w:hAnsi="Arial"/>
          <w:b/>
          <w:bCs/>
          <w:color w:val="2E5F9A"/>
          <w:sz w:val="28"/>
          <w:szCs w:val="28"/>
        </w:rPr>
        <w:t xml:space="preserve">7.2 Close CRM is the First Priority Integration</w:t>
      </w:r>
    </w:p>
    <w:p>
      <w:pPr>
        <w:spacing w:after="80" w:before="80"/>
      </w:pPr>
      <w:r>
        <w:rPr>
          <w:rFonts w:ascii="Arial" w:cs="Arial" w:eastAsia="Arial" w:hAnsi="Arial"/>
          <w:color w:val="444444"/>
          <w:sz w:val="22"/>
          <w:szCs w:val="22"/>
        </w:rPr>
        <w:t xml:space="preserve">All four research reports flag Close CRM as a pain point: no first-party connector on Claude's side, no native GPT Plus integration, requires direct API or Zapier glue. Build the Close webhook → Cloud Run → Pub/Sub pipeline first. Everything downstream depends on having pipeline state in the system.</w:t>
      </w:r>
    </w:p>
    <w:p>
      <w:pPr>
        <w:spacing w:after="0" w:before="80"/>
      </w:pPr>
      <w:r>
        <w:t xml:space="preserve"/>
      </w:r>
    </w:p>
    <w:p>
      <w:pPr>
        <w:pStyle w:val="Heading2"/>
        <w:spacing w:after="120" w:before="280"/>
      </w:pPr>
      <w:r>
        <w:rPr>
          <w:rFonts w:ascii="Arial" w:cs="Arial" w:eastAsia="Arial" w:hAnsi="Arial"/>
          <w:b/>
          <w:bCs/>
          <w:color w:val="2E5F9A"/>
          <w:sz w:val="28"/>
          <w:szCs w:val="28"/>
        </w:rPr>
        <w:t xml:space="preserve">7.3 Drive Connector Image Limitation</w:t>
      </w:r>
    </w:p>
    <w:p>
      <w:pPr>
        <w:spacing w:after="80" w:before="80"/>
      </w:pPr>
      <w:r>
        <w:rPr>
          <w:rFonts w:ascii="Arial" w:cs="Arial" w:eastAsia="Arial" w:hAnsi="Arial"/>
          <w:color w:val="444444"/>
          <w:sz w:val="22"/>
          <w:szCs w:val="22"/>
        </w:rPr>
        <w:t xml:space="preserve">If critical documents (receipts, BEOs, venue contracts) live in Drive as images embedded in Docs or Slides, the Drive connector will not process those images. Route those through Vision API in GCC or submit images directly to Claude for extraction. Standardize document formats to avoid this where possible.</w:t>
      </w:r>
    </w:p>
    <w:p>
      <w:pPr>
        <w:spacing w:after="0" w:before="80"/>
      </w:pPr>
      <w:r>
        <w:t xml:space="preserve"/>
      </w:r>
    </w:p>
    <w:p>
      <w:pPr>
        <w:pStyle w:val="Heading2"/>
        <w:spacing w:after="120" w:before="280"/>
      </w:pPr>
      <w:r>
        <w:rPr>
          <w:rFonts w:ascii="Arial" w:cs="Arial" w:eastAsia="Arial" w:hAnsi="Arial"/>
          <w:b/>
          <w:bCs/>
          <w:color w:val="2E5F9A"/>
          <w:sz w:val="28"/>
          <w:szCs w:val="28"/>
        </w:rPr>
        <w:t xml:space="preserve">7.4 Openclaw Maturity</w:t>
      </w:r>
    </w:p>
    <w:p>
      <w:pPr>
        <w:spacing w:after="80" w:before="80"/>
      </w:pPr>
      <w:r>
        <w:rPr>
          <w:rFonts w:ascii="Arial" w:cs="Arial" w:eastAsia="Arial" w:hAnsi="Arial"/>
          <w:color w:val="444444"/>
          <w:sz w:val="22"/>
          <w:szCs w:val="22"/>
        </w:rPr>
        <w:t xml:space="preserve">Openclaw's cron/subagent/remote functionality is described as early-stage. Keeping it as a gateway rather than a load-bearing platform is the right call until the product matures. The architecture is designed to not depend on Openclaw's stability for core operations — GCC handles the reliable runtime layer.</w:t>
      </w:r>
    </w:p>
    <w:p>
      <w:pPr>
        <w:spacing w:after="0" w:before="120"/>
      </w:pPr>
      <w:r>
        <w:t xml:space="preserve"/>
      </w:r>
    </w:p>
    <w:p>
      <w:r>
        <w:br w:type="page"/>
      </w:r>
    </w:p>
    <w:p>
      <w:pPr>
        <w:pStyle w:val="Heading1"/>
        <w:pBdr>
          <w:bottom w:val="single" w:color="2E5F9A" w:sz="8" w:space="6"/>
        </w:pBdr>
        <w:spacing w:after="160" w:before="360"/>
      </w:pPr>
      <w:r>
        <w:rPr>
          <w:rFonts w:ascii="Arial" w:cs="Arial" w:eastAsia="Arial" w:hAnsi="Arial"/>
          <w:b/>
          <w:bCs/>
          <w:color w:val="1B2A4A"/>
          <w:sz w:val="36"/>
          <w:szCs w:val="36"/>
        </w:rPr>
        <w:t xml:space="preserve">8. Quick Reference — What to Use for What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I need to...</w:t>
            </w:r>
          </w:p>
        </w:tc>
        <w:tc>
          <w:tcPr>
            <w:tcW w:type="dxa" w:w="320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Use This</w:t>
            </w:r>
          </w:p>
        </w:tc>
        <w:tc>
          <w:tcPr>
            <w:tcW w:type="dxa" w:w="2760"/>
            <w:tcBorders>
              <w:top w:val="single" w:color="CCCCCC" w:sz="1"/>
              <w:left w:val="single" w:color="CCCCCC" w:sz="1"/>
              <w:bottom w:val="single" w:color="CCCCCC" w:sz="1"/>
              <w:right w:val="single" w:color="CCCCCC" w:sz="1"/>
            </w:tcBorders>
            <w:shd w:fill="2E5F9A" w:val="clear"/>
            <w:tcMar>
              <w:top w:type="dxa" w:w="80"/>
              <w:left w:type="dxa" w:w="120"/>
              <w:bottom w:type="dxa" w:w="80"/>
              <w:right w:type="dxa" w:w="80"/>
            </w:tcMar>
          </w:tcPr>
          <w:p>
            <w:r>
              <w:rPr>
                <w:rFonts w:ascii="Arial" w:cs="Arial" w:eastAsia="Arial" w:hAnsi="Arial"/>
                <w:b/>
                <w:bCs/>
                <w:color w:val="FFFFFF"/>
                <w:sz w:val="20"/>
                <w:szCs w:val="20"/>
              </w:rPr>
              <w:t xml:space="preserve">Layer</w:t>
            </w:r>
          </w:p>
        </w:tc>
      </w:tr>
      <w:tr>
        <w:tc>
          <w:tcPr>
            <w:tcW w:type="dxa" w:w="3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I need to build a new Cloud Run service</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Cursor Pro (Auto/Composer)</w:t>
            </w:r>
          </w:p>
        </w:tc>
        <w:tc>
          <w:tcPr>
            <w:tcW w:type="dxa" w:w="2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Build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I need a proposal drafted for a lead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Claude Pro (Sales Project)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Intelligence</w:t>
            </w:r>
          </w:p>
        </w:tc>
      </w:tr>
      <w:tr>
        <w:tc>
          <w:tcPr>
            <w:tcW w:type="dxa" w:w="3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I need to process 500 receipt images</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GCC (Vision API) + Claude extract</w:t>
            </w:r>
          </w:p>
        </w:tc>
        <w:tc>
          <w:tcPr>
            <w:tcW w:type="dxa" w:w="2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Runtime + Intelligence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I need to scale a recipe for 300 guests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Codex via Openclaw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STEM</w:t>
            </w:r>
          </w:p>
        </w:tc>
      </w:tr>
      <w:tr>
        <w:tc>
          <w:tcPr>
            <w:tcW w:type="dxa" w:w="3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I need a weekly ops briefing at 7am Monday</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Cowork scheduled sweep</w:t>
            </w:r>
          </w:p>
        </w:tc>
        <w:tc>
          <w:tcPr>
            <w:tcW w:type="dxa" w:w="2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Copilot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I need a Close webhook to trigger downstream 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Cloud Run + Pub/Sub (GCC)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Runtime</w:t>
            </w:r>
          </w:p>
        </w:tc>
      </w:tr>
      <w:tr>
        <w:tc>
          <w:tcPr>
            <w:tcW w:type="dxa" w:w="3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I need staffing optimization across 4 events</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Codex via Openclaw</w:t>
            </w:r>
          </w:p>
        </w:tc>
        <w:tc>
          <w:tcPr>
            <w:tcW w:type="dxa" w:w="2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STEM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I need to generate venue outreach emails in bulk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Claude Pro (Partners Project)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Intelligence</w:t>
            </w:r>
          </w:p>
        </w:tc>
      </w:tr>
      <w:tr>
        <w:tc>
          <w:tcPr>
            <w:tcW w:type="dxa" w:w="3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I need invoices auto-generated and emailed</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GCC (Workflows + Cloud Tasks + Gmail API)</w:t>
            </w:r>
          </w:p>
        </w:tc>
        <w:tc>
          <w:tcPr>
            <w:tcW w:type="dxa" w:w="2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Runtime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I need to analyze labor cost trends over 6 months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BigQuery + Claude analysis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Runtime + Intelligence</w:t>
            </w:r>
          </w:p>
        </w:tc>
      </w:tr>
      <w:tr>
        <w:tc>
          <w:tcPr>
            <w:tcW w:type="dxa" w:w="3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I need a new MCP connector for a SaaS tool</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Cursor Pro (build) → Claude Pro (use)</w:t>
            </w:r>
          </w:p>
        </w:tc>
        <w:tc>
          <w:tcPr>
            <w:tcW w:type="dxa" w:w="2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80"/>
            </w:tcMar>
          </w:tcPr>
          <w:p>
            <w:r>
              <w:rPr>
                <w:rFonts w:ascii="Arial" w:cs="Arial" w:eastAsia="Arial" w:hAnsi="Arial"/>
                <w:color w:val="111111"/>
                <w:sz w:val="19"/>
                <w:szCs w:val="19"/>
              </w:rPr>
              <w:t xml:space="preserve">Build → Copilot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I need a cron job that runs every day at 6am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Cloud Scheduler (GCC) or Openclaw heartbeat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Runtime</w:t>
            </w:r>
          </w:p>
        </w:tc>
      </w:tr>
    </w:tbl>
    <w:p>
      <w:pPr>
        <w:spacing w:after="0" w:before="160"/>
      </w:pPr>
      <w:r>
        <w:t xml:space="preserve"/>
      </w:r>
    </w:p>
    <w:p>
      <w:pPr>
        <w:spacing w:after="80" w:before="80"/>
      </w:pPr>
      <w:r>
        <w:rPr>
          <w:rFonts w:ascii="Arial" w:cs="Arial" w:eastAsia="Arial" w:hAnsi="Arial"/>
          <w:i/>
          <w:iCs/>
          <w:color w:val="CCCCCC"/>
          <w:sz w:val="22"/>
          <w:szCs w:val="22"/>
        </w:rPr>
        <w:t xml:space="preserve">Legend: ✅ Ready to use  ⚡ Has constraints  🔧 Requires setup first  🔗 Route elsewhere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spacing w:after="0" w:before="100"/>
    </w:pPr>
    <w:r>
      <w:rPr>
        <w:rFonts w:ascii="Arial" w:cs="Arial" w:eastAsia="Arial" w:hAnsi="Arial"/>
        <w:color w:val="CCCCCC"/>
        <w:sz w:val="16"/>
        <w:szCs w:val="16"/>
      </w:rPr>
      <w:t xml:space="preserve">Confidential — Internal Use Only</w:t>
    </w:r>
    <w:r>
      <w:rPr>
        <w:rFonts w:ascii="Arial" w:cs="Arial" w:eastAsia="Arial" w:hAnsi="Arial"/>
        <w:color w:val="CCCCCC"/>
        <w:sz w:val="16"/>
        <w:szCs w:val="16"/>
      </w:rPr>
      <w:t xml:space="preserve">	Page </w:t>
    </w:r>
    <w:r>
      <w:rPr>
        <w:rFonts w:ascii="Arial" w:cs="Arial" w:eastAsia="Arial" w:hAnsi="Arial"/>
        <w:color w:val="CCCC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A" w:sz="4" w:space="6"/>
      </w:pBdr>
      <w:spacing w:after="100" w:before="0"/>
    </w:pPr>
    <w:r>
      <w:rPr>
        <w:rFonts w:ascii="Arial" w:cs="Arial" w:eastAsia="Arial" w:hAnsi="Arial"/>
        <w:b/>
        <w:bCs/>
        <w:color w:val="2E5F9A"/>
        <w:sz w:val="16"/>
        <w:szCs w:val="16"/>
      </w:rPr>
      <w:t xml:space="preserve">CATERING AUTOMATION — SUBSCRIPTION STACK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9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2026-03-28T03:57:32.376Z</dcterms:created>
  <dcterms:modified xsi:type="dcterms:W3CDTF">2026-03-28T03:57:32.377Z</dcterms:modified>
</cp:coreProperties>
</file>

<file path=docProps/custom.xml><?xml version="1.0" encoding="utf-8"?>
<Properties xmlns="http://schemas.openxmlformats.org/officeDocument/2006/custom-properties" xmlns:vt="http://schemas.openxmlformats.org/officeDocument/2006/docPropsVTypes"/>
</file>