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u w:val="single"/>
          <w:rtl w:val="0"/>
        </w:rPr>
        <w:t xml:space="preserve">Capstone Project for Data Science - Tinyuka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In this capstone project, you will apply your data science and machine learning skills to develop a predictive model for house prices. This project will involve data cleaning, exploratory data analysis (EDA), feature engineering, model training, and evaluation. You will use a real-world dataset to build a model that can accurately predict house prices based on various features.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Instruction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Project Introduction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Objective: 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Develop a machine learning model to predict house prices using a dataset containing various house-related features.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Dataset: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 You will use the "House Prices - Advanced Regression Techniques" dataset from Kaggle (or any other relevant house price dataset).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Project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Phase 1: Data Collection and Preparation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1.1: Download the dataset from Kaggle or another source.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1.2: Load the dataset into a Pandas DataFrame.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1.3: Inspect the dataset for missing values and handle them appropriately.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1.4: Perform data cleaning to ensure the dataset is ready for analysis.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Phase 2: 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2.1: Conduct exploratory data analysis to understand the distribution of features and the target variable (house prices).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2.2: Visualize the relationships between features and the target variable using scatter plots, histograms, and box plots.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2.3: Identify and handle outliers in the dataset.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Phase 3: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3.1: Create new features that may help improve the model's performance.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3.2: Encode categorical variables using one-hot or label encoding techniques.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3.3: Normalize or standardize numerical features as needed.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Phase 4: Model Training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4.1: Split the dataset into training and testing sets.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4.2: Choose and justify the selection of machine learning algorithms (e.g., Linear Regression, Decision Tree, Random Forest, Gradient Boosting).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4.3: Train multiple models and evaluate their performance using appropriate metrics (e.g., RMSE, MAE, R²).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4.4: Perform hyperparameter tuning to optimize the model's performance.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4.5: Select and evaluate the best-performing model on the testing set.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Phase 5: Model Interpretation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5.1: Interpret the results of the best-performing model and explain the importance of critical features.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5.2: Create visualizations to support your findings and model interpretations.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Task 5.3: Write a comprehensive report summarizing the project, including the methodology, results, and conclusions.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Code: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 Submit the complete code used for data preparation, EDA, feature engineering, model training, and evaluation (Jupyter Notebook format)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Report: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 Submit a detailed report (PDF or Jupyter Notebook format) documenting your approach, findings, and conclusions. The report should include visualizations and a clear explanation of your steps.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1f1f"/>
          <w:sz w:val="26"/>
          <w:szCs w:val="26"/>
          <w:highlight w:val="white"/>
          <w:rtl w:val="0"/>
        </w:rPr>
        <w:t xml:space="preserve">Presentation: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6"/>
          <w:szCs w:val="26"/>
          <w:highlight w:val="white"/>
          <w:rtl w:val="0"/>
        </w:rPr>
        <w:t xml:space="preserve"> Prepare a brief presentation (5-10 slides) summarizing your project and key findings. You may be asked to present this to your peers or instructors.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Submit: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AltSchool of Data Science Tinyuka 2023 Capstone 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rebuchet MS" w:cs="Trebuchet MS" w:eastAsia="Trebuchet MS" w:hAnsi="Trebuchet MS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o4h2nihFqvgZX5d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