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96"/>
          <w:szCs w:val="96"/>
        </w:rPr>
        <w:t xml:space="preserve">COMPAS</w:t>
      </w:r>
    </w:p>
    <w:p>
      <w:pPr>
        <w:spacing w:before="200"/>
        <w:jc w:val="center"/>
      </w:pPr>
      <w:r>
        <w:rPr>
          <w:b/>
          <w:bCs/>
          <w:color w:val="333333"/>
          <w:sz w:val="40"/>
          <w:szCs w:val="40"/>
        </w:rPr>
        <w:t xml:space="preserve">Change Request CR-001</w:t>
      </w:r>
    </w:p>
    <w:p>
      <w:pPr>
        <w:spacing w:before="200"/>
        <w:jc w:val="center"/>
      </w:pPr>
      <w:r>
        <w:rPr>
          <w:i/>
          <w:iCs/>
          <w:color w:val="555555"/>
          <w:sz w:val="28"/>
          <w:szCs w:val="28"/>
        </w:rPr>
        <w:t xml:space="preserve">Gestión de extractos mensuales como fuente de verificación y corrección</w:t>
      </w:r>
    </w:p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COMPAS-CR-001 v1.0 — Primer cambio bajo control de cambios post-GO</w:t>
      </w:r>
    </w:p>
    <w:p>
      <w:pPr>
        <w:spacing w:before="100"/>
        <w:jc w:val="center"/>
      </w:pPr>
      <w:r>
        <w:rPr>
          <w:sz w:val="22"/>
          <w:szCs w:val="22"/>
        </w:rPr>
        <w:t xml:space="preserve">RODDOS S.A.S. — Oficina del CTO</w:t>
      </w:r>
    </w:p>
    <w:p>
      <w:pPr>
        <w:spacing w:before="100"/>
        <w:jc w:val="center"/>
      </w:pPr>
      <w:r>
        <w:rPr>
          <w:color w:val="555555"/>
          <w:sz w:val="22"/>
          <w:szCs w:val="22"/>
        </w:rPr>
        <w:t xml:space="preserve">18 de julio de 2026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Metadatos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66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Solicitante / Fecha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CEO Andrés Sanjuan — 18-jul-2026 (post-certificado GO v1.1.2)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Requerimiento textual</w:t>
            </w:r>
          </w:p>
        </w:tc>
        <w:tc>
          <w:tcPr>
            <w:tcW w:type="dxa" w:w="66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"Extractos y movimientos tenemos que poder administrar: movimientos diarios y extractos para corregir cifras. La documentación ya está en el proyecto."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Evidencia analizada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movements072026_072026.xls (export Global66 de movimientos con ID de transacción) y extracto_movements052026.pdf (extracto mensual Global66 con saldo de inicio $21.955.333,91 y final $7.358.444,05 del período May-2026)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Clasificación</w:t>
            </w:r>
          </w:p>
        </w:tc>
        <w:tc>
          <w:tcPr>
            <w:tcW w:type="dxa" w:w="66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PRECISIÓN sobre módulos existentes (M4 Conciliación + M7 Cargas) + 1 entidad nueva liviana. NO es módulo nuevo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Impacto en cronograma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NINGUNO — se implementa dentro del Sprint 4 (conciliación), esfuerzo estimado 1–1,5 días ya cubiertos por el buffer del plan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Impacto en costo / decisiones / criterios</w:t>
            </w:r>
          </w:p>
        </w:tc>
        <w:tc>
          <w:tcPr>
            <w:tcW w:type="dxa" w:w="66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Ninguno. El DoD no cambia; la demo del Sprint 4 (G3) incluirá la verificación por extracto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Documentos afectados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PRD M4/M7 y Spec (entidad ExtractoMensual + 2 endpoints) — se incorporan como v1.2 en el primer re-baseline natural; mientras tanto este CR-001 es el documento normativo del cambio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79"/>
        </w:rPr>
        <w:t xml:space="preserve">1. Qué ya estaba cubierto (sin cambio)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Movimientos diarios: </w:t>
      </w:r>
      <w:r>
        <w:rPr>
          <w:sz w:val="22"/>
          <w:szCs w:val="22"/>
        </w:rPr>
        <w:t xml:space="preserve">M7 con cadencia 8:30, parsers por banco, deduplicación por (banco, id_banco) — el export de Global66 del proyecto trae 'ID de la transacción', que es exactamente la clave prevista.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Corrección de cifras: </w:t>
      </w:r>
      <w:r>
        <w:rPr>
          <w:sz w:val="22"/>
          <w:szCs w:val="22"/>
        </w:rPr>
        <w:t xml:space="preserve">la conciliación de M4 (diferencia vs banco), el ancla mensual del saldo (F-14, con transacción de 'Ajuste de conciliación' auditada) y la política de movimientos tardíos (F-08) ya son el mecanismo formal de corrección.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2. El delta que introduce este CR</w:t>
      </w:r>
    </w:p>
    <w:p>
      <w:pPr>
        <w:spacing w:after="120"/>
      </w:pPr>
      <w:r>
        <w:rPr>
          <w:sz w:val="22"/>
          <w:szCs w:val="22"/>
        </w:rPr>
        <w:t xml:space="preserve">Hoy el 'saldo según banco' de MesControl.saldos_banco se digitaría manualmente. Con CR-001, ese dato </w:t>
      </w:r>
      <w:r>
        <w:rPr>
          <w:b/>
          <w:bCs/>
          <w:sz w:val="22"/>
          <w:szCs w:val="22"/>
        </w:rPr>
        <w:t xml:space="preserve">sale del extracto mensual oficial</w:t>
      </w:r>
      <w:r>
        <w:rPr>
          <w:sz w:val="22"/>
          <w:szCs w:val="22"/>
        </w:rPr>
        <w:t xml:space="preserve">: el Financiero carga el extracto (PDF o export) de cada banco al cerrar el período, COMPAS registra sus saldos y totales, y ejecuta la verificación contra la base transaccional.</w:t>
      </w:r>
    </w:p>
    <w:p>
      <w:pPr>
        <w:pStyle w:val="Heading2"/>
        <w:spacing w:after="120" w:before="280"/>
      </w:pPr>
      <w:r>
        <w:rPr>
          <w:b/>
          <w:bCs/>
          <w:color w:val="1F4E79"/>
        </w:rPr>
        <w:t xml:space="preserve">2.1 Entidad nueva: ExtractoMensual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4460"/>
      </w:tblGrid>
      <w:tr>
        <w:trPr>
          <w:tblHeader/>
        </w:trPr>
        <w:tc>
          <w:tcPr>
            <w:tcW w:type="dxa" w:w="3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4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banco / periodo (YYYY-MM)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Enum, Date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Único compuesto — un extracto por banco por mes</w:t>
            </w:r>
          </w:p>
        </w:tc>
      </w:tr>
      <w:tr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saldo_inicial / saldo_final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Decimal</w:t>
            </w:r>
          </w:p>
        </w:tc>
        <w:tc>
          <w:tcPr>
            <w:tcW w:type="dxa" w:w="44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Del documento oficial (ej. 'Inicio de período' / 'Final de período' del PDF Global66)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total_debitos / total_creditos / n_movimientos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Decimal, Int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 el documento los trae o son derivables del detalle</w:t>
            </w:r>
          </w:p>
        </w:tc>
      </w:tr>
      <w:tr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archivo_s3_key / archivo_hash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44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El PDF/export original se conserva (prefijo compas/archivos/), SHA-256 anti-duplicado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estado_verificacion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Enum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pendiente | cuadrado | con_diferencias</w:t>
            </w:r>
          </w:p>
        </w:tc>
      </w:tr>
      <w:tr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resultado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Object</w:t>
            </w:r>
          </w:p>
        </w:tc>
        <w:tc>
          <w:tcPr>
            <w:tcW w:type="dxa" w:w="44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{dif_saldo_final, movimientos_faltantes[], movimientos_sobrantes[]} — calculado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cargado_por / created_at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ObjectId, DateTime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Auditoría (evento nuevo: extracto.cargado — catálogo pasa de 29 a 30)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4E79"/>
        </w:rPr>
        <w:t xml:space="preserve">2.2 Verificación automática (regla de negocio)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Al cargar el extracto: saldo_final del extracto vs. caja calculada del banco en la base → alimenta MesControl.saldos_banco (reemplaza la digitación manual) y la 'Diferencia vs banco'.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Cruce del detalle (cuando el formato lo permite, ej. Global66 por ID): movimientos del extracto ausentes en la base → lista de faltantes para cargar/corregir; movimientos en la base sin respaldo en el extracto → sobrantes para revisar.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Las correcciones derivadas usan los mecanismos existentes: carga del movimiento faltante (dedup lo protege), reclasificación auditada, o 'Ajuste de conciliación' (F-14). El extracto NUNCA modifica la base directamente — propone, el humano corrige.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El cierre de mes (checklist) exige extracto cargado y en estado 'cuadrado' (o diferencia justificada) por cada banco activo.</w:t>
      </w:r>
    </w:p>
    <w:p>
      <w:pPr>
        <w:pStyle w:val="Heading2"/>
        <w:spacing w:after="120" w:before="280"/>
      </w:pPr>
      <w:r>
        <w:rPr>
          <w:b/>
          <w:bCs/>
          <w:color w:val="1F4E79"/>
        </w:rPr>
        <w:t xml:space="preserve">2.3 Superficie técnica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Endpoints: POST /extractos (multipart, banco+periodo) · GET /extractos?periodo · GET /extractos/{id}/verificacion. Permisos: Financiero/Admin (misma fila de cargas de la matriz).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Parser del extracto Global66 (PDF, pdfplumber) para saldos y detalle; para Bancolombia/BBVA se parte de los formatos de SISMO v2 y se valida con los documentos del Día 0. Si un extracto no es parseable, los saldos se digitan con el documento adjunto como evidencia — la trazabilidad no se pierde.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Vista: sección 'Extractos' dentro de Cargas (menú Administración) + tarjeta de estado de verificación en la vista de Caja/Conciliación del mes.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3. Justificación del veredicto 'sin impacto'</w:t>
      </w:r>
    </w:p>
    <w:p>
      <w:pPr>
        <w:spacing w:after="120"/>
      </w:pPr>
      <w:r>
        <w:rPr>
          <w:sz w:val="22"/>
          <w:szCs w:val="22"/>
        </w:rPr>
        <w:t xml:space="preserve">El criterio del plan (compromiso #7 del Tech Lead) exige declarar el impacto de todo cambio. Este CR: no altera decisiones (la conciliación por banco ya era del alcance), no altera mecanismos de seguridad ni DR, no altera costos (el almacenamiento del PDF usa el prefijo S3 existente), y no altera criterios de aceptación (el DoD-4 de conciliación se cumple ahora con mejor evidencia). La entidad y los 2 endpoints caben en el Sprint 4 junto a la conciliación, cuyo alcance natural ya era este. Lección de la auditoría aplicada: se declara ANTES de construirse, con documento propio y trazabilidad.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CE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Aprobación requerida: CEO (solicitante) — la firma de este CR-001 autoriza su inclusión en el Sprint 4 y su incorporación documental como v1.2 en el siguiente re-baseline. El auditor externo puede incluirlo en su verificación puntual del gate G3.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2026-07-18T01:57:22.521Z</dcterms:created>
  <dcterms:modified xsi:type="dcterms:W3CDTF">2026-07-18T01:57:22.536Z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