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COMPAS</w:t>
      </w:r>
    </w:p>
    <w:p>
      <w:pPr>
        <w:spacing w:before="200"/>
        <w:jc w:val="center"/>
      </w:pPr>
      <w:r>
        <w:rPr>
          <w:b/>
          <w:bCs/>
          <w:color w:val="333333"/>
          <w:sz w:val="40"/>
          <w:szCs w:val="40"/>
        </w:rPr>
        <w:t xml:space="preserve">Control y Monitoreo Presupuestal y de Administración de Caja</w:t>
      </w:r>
    </w:p>
    <w:p>
      <w:pPr>
        <w:spacing w:before="200"/>
        <w:jc w:val="center"/>
      </w:pPr>
      <w:r>
        <w:rPr>
          <w:i/>
          <w:iCs/>
          <w:color w:val="555555"/>
          <w:sz w:val="28"/>
          <w:szCs w:val="28"/>
        </w:rPr>
        <w:t xml:space="preserve">Descripción general del sistema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COMPAS-INFO-000 v1.1.2 — re-baseline completo (18-jul-2026)</w:t>
      </w:r>
    </w:p>
    <w:p>
      <w:pPr>
        <w:spacing w:before="100"/>
        <w:jc w:val="center"/>
      </w:pPr>
      <w:r>
        <w:rPr>
          <w:sz w:val="22"/>
          <w:szCs w:val="22"/>
        </w:rPr>
        <w:t xml:space="preserve">RODDOS S.A.S. — Oficina del CTO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18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¿Qué es COMPAS?</w:t>
      </w:r>
    </w:p>
    <w:p>
      <w:pPr>
        <w:spacing w:after="120"/>
      </w:pPr>
      <w:r>
        <w:rPr>
          <w:sz w:val="22"/>
          <w:szCs w:val="22"/>
        </w:rPr>
        <w:t xml:space="preserve">COMPAS es el sistema propio de </w:t>
      </w:r>
      <w:r>
        <w:rPr>
          <w:b/>
          <w:bCs/>
          <w:sz w:val="22"/>
          <w:szCs w:val="22"/>
        </w:rPr>
        <w:t xml:space="preserve">seguimiento presupuestal y control de flujo de caja</w:t>
      </w:r>
      <w:r>
        <w:rPr>
          <w:sz w:val="22"/>
          <w:szCs w:val="22"/>
        </w:rPr>
        <w:t xml:space="preserve"> de RODDOS S.A.S. Es una aplicación web en la nube que reemplaza el archivo </w:t>
      </w:r>
      <w:r>
        <w:rPr>
          <w:i/>
          <w:iCs/>
          <w:color w:val="555555"/>
          <w:sz w:val="22"/>
          <w:szCs w:val="22"/>
        </w:rPr>
        <w:t xml:space="preserve">Flujo de pagos deudas.xlsx</w:t>
      </w:r>
      <w:r>
        <w:rPr>
          <w:sz w:val="22"/>
          <w:szCs w:val="22"/>
        </w:rPr>
        <w:t xml:space="preserve"> conservando su estructura y forma de trabajo — la navegación replica las hojas del Excel: Inicio · Control · Pagos semana ★ · Presupuesto · Ingresos · Egresos · Deudas — con memoria histórica persistente, trazabilidad total y automatización de las tareas manuales.</w:t>
      </w:r>
    </w:p>
    <w:p>
      <w:pPr>
        <w:spacing w:after="120"/>
      </w:pPr>
      <w:r>
        <w:rPr>
          <w:sz w:val="22"/>
          <w:szCs w:val="22"/>
        </w:rPr>
        <w:t xml:space="preserve">Su unidad de trabajo es el </w:t>
      </w:r>
      <w:r>
        <w:rPr>
          <w:b/>
          <w:bCs/>
          <w:sz w:val="22"/>
          <w:szCs w:val="22"/>
        </w:rPr>
        <w:t xml:space="preserve">mes de control</w:t>
      </w:r>
      <w:r>
        <w:rPr>
          <w:sz w:val="22"/>
          <w:szCs w:val="22"/>
        </w:rPr>
        <w:t xml:space="preserve">: cada mes se abre con un presupuesto sugerido calculado con la misma fórmula del Excel (promedio 3 meses + tendencia + % de crecimiento, editable mes a mes por categoría o con un % global), acompañado de la fila informativa de compromisos programados (cuotas de deuda, facturas por pagar, IVA por vencer). Los directivos lo acotan, el Admin lo aprueba, y sobre ese presupuesto definido se ejecuta y se hace seguimiento. Al cerrar, el mes queda guardado, consultable y comparable — nada se sobreescribe.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Qué hace (go-live, Fase 0–1)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Presupuesto mensual con ciclo formal: </w:t>
      </w:r>
      <w:r>
        <w:rPr>
          <w:sz w:val="22"/>
          <w:szCs w:val="22"/>
        </w:rPr>
        <w:t xml:space="preserve">sugerido → propuesto → definido → en ejecución → cerrado, con versionado y registro de quién acotó y quién aprobó.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Control de ejecución: </w:t>
      </w:r>
      <w:r>
        <w:rPr>
          <w:sz w:val="22"/>
          <w:szCs w:val="22"/>
        </w:rPr>
        <w:t xml:space="preserve">presupuesto vs. ejecutado vs. disponible por categoría y grupo, con semáforos y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Caja y conciliación: </w:t>
      </w:r>
      <w:r>
        <w:rPr>
          <w:sz w:val="22"/>
          <w:szCs w:val="22"/>
        </w:rPr>
        <w:t xml:space="preserve">caja del mes y diferencia contra el saldo de cada banco y el consolidado.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Pagos de la próxima semana (módulo prioritario): </w:t>
      </w:r>
      <w:r>
        <w:rPr>
          <w:sz w:val="22"/>
          <w:szCs w:val="22"/>
        </w:rPr>
        <w:t xml:space="preserve">validación contra presupuesto (✔ Cabe / ✖ Excede), caja después de cada pago y seguimiento de estado hasta la conciliación con el pago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Carga de movimientos bancarios: </w:t>
      </w:r>
      <w:r>
        <w:rPr>
          <w:sz w:val="22"/>
          <w:szCs w:val="22"/>
        </w:rPr>
        <w:t xml:space="preserve">plantillas de Bancolombia, BBVA y Global66 (con moneda original), deduplicación garantizada, clasificación asistida y cadencia diaria: todos los días a las 8:30 se carga el día anterior, con recordatorio automático si falta un banco.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Deudas con Capacidad de pago: </w:t>
      </w:r>
      <w:r>
        <w:rPr>
          <w:sz w:val="22"/>
          <w:szCs w:val="22"/>
        </w:rPr>
        <w:t xml:space="preserve">calendario de cuotas por acreedor y el simulador que responde ¿me da para acelerar o voy poco a poco?: holgura del mes, meses restantes por deuda y efecto de un abono extra, enviable a Pagos semana en un clic.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Facturas — ambos lados: </w:t>
      </w:r>
      <w:r>
        <w:rPr>
          <w:sz w:val="22"/>
          <w:szCs w:val="22"/>
        </w:rPr>
        <w:t xml:space="preserve">las emitidas A RODDOS (proveedores, con fecha de pago por días de crédito) y las emitidas POR RODDOS (ventas), ambas con IVA discriminado.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IVA cuatrimestral: </w:t>
      </w:r>
      <w:r>
        <w:rPr>
          <w:sz w:val="22"/>
          <w:szCs w:val="22"/>
        </w:rPr>
        <w:t xml:space="preserve">saldo proyectado = IVA generado (facturas emitidas) − IVA descontable (facturas recibidas), monitoreado en vivo con alertas antes del vencimiento.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Ingresos por modelo de moto: </w:t>
      </w:r>
      <w:r>
        <w:rPr>
          <w:sz w:val="22"/>
          <w:szCs w:val="22"/>
        </w:rPr>
        <w:t xml:space="preserve">proyección paramétrica (unidades, cuotas, % recaudo) con % de cumplimiento contra el recaudo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Histórico y analítica: </w:t>
      </w:r>
      <w:r>
        <w:rPr>
          <w:sz w:val="22"/>
          <w:szCs w:val="22"/>
        </w:rPr>
        <w:t xml:space="preserve">comparación mes vs. mes, series por categoría y exportación a Excel — auditada y restringida por rol (el rol Consulta no exporta).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Cómo está construido</w:t>
      </w:r>
    </w:p>
    <w:p>
      <w:pPr>
        <w:spacing w:after="120"/>
      </w:pPr>
      <w:r>
        <w:rPr>
          <w:sz w:val="22"/>
          <w:szCs w:val="22"/>
        </w:rPr>
        <w:t xml:space="preserve">Sobre los </w:t>
      </w:r>
      <w:r>
        <w:rPr>
          <w:b/>
          <w:bCs/>
          <w:sz w:val="22"/>
          <w:szCs w:val="22"/>
        </w:rPr>
        <w:t xml:space="preserve">mismos proveedores de SISMO V3</w:t>
      </w:r>
      <w:r>
        <w:rPr>
          <w:sz w:val="22"/>
          <w:szCs w:val="22"/>
        </w:rPr>
        <w:t xml:space="preserve"> (MongoDB Atlas, Render, Vercel, Cloudflare, GitHub, Sentry, Better Stack), sin cuentas nuevas, con costo incremental de ~$40–70 USD/mes en construcción y ~$40–55 en operación (mínimo ~$33 con staging pausado). Mismo stack (Python/FastAPI + React/TypeScript), con autenticación endurecida (MFA, revocación), roles con segregación de funciones, auditoría inmutable de 29 eventos verificada en CI, respaldo diario con restauración probada y cronometrada, y archivado tributario de largo plazo con bloqueo contra borrado. El paquete de documentos pasó por auditoría técnica independiente de 4 rondas (ROJO → VERDE 9.3/10 con certificado GO) y esta versión v1.1.2 incorpora el cierre completo y la decisión de alcance del CEO.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Hoja de ruta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300"/>
        <w:gridCol w:w="21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5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2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0–1 (go-live)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Todo lo descrito arriba + migración del histórico del Excel (bases al Sprint 2; deudas, facturas y presupuestos al Sprint 7).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semanas (decisión de alcance N-01)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Double-run</w:t>
            </w:r>
          </w:p>
        </w:tc>
        <w:tc>
          <w:tcPr>
            <w:tcW w:type="dxa" w:w="5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 + Excel en paralelo hasta 4 conciliaciones semanales cuadradas + 1 cierre mensual completo → Excel a solo-lectura.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go-live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1.5</w:t>
            </w:r>
          </w:p>
        </w:tc>
        <w:tc>
          <w:tcPr>
            <w:tcW w:type="dxa" w:w="5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Modo 'ligada a ventas' del presupuesto (unidades proyectadas × costo unitario) + pestaña Horizonte 18–24 meses. (El pre-llenado del % global desde la proyección de ventas ya opera desde el go-live.)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1–2 semanas, tras el apagado del Excel (típicamente semanas 5–6 post go-live)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2</w:t>
            </w:r>
          </w:p>
        </w:tc>
        <w:tc>
          <w:tcPr>
            <w:tcW w:type="dxa" w:w="5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Motor de proyección de ingresos del MODELO SIMULADOR 2030 con escenarios, caja proyectada a 12–18 meses y lectura del recaudo real desde SISMO.</w:t>
            </w:r>
          </w:p>
        </w:tc>
        <w:tc>
          <w:tcPr>
            <w:tcW w:type="dxa" w:w="2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semanas (tras operación estable medida por SLOs)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2026-07-18T01:24:19.052Z</dcterms:created>
  <dcterms:modified xsi:type="dcterms:W3CDTF">2026-07-18T01:24:19.052Z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