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b/>
          <w:color w:val="2E74B5"/>
          <w:sz w:val="24"/>
        </w:rPr>
        <w:t>CSE335 OPERATING SYSTEMS PROJECT</w:t>
      </w:r>
    </w:p>
    <w:p>
      <w:pPr>
        <w:jc w:val="center"/>
      </w:pPr>
      <w:r>
        <w:rPr>
          <w:b/>
          <w:color w:val="1F4D78"/>
          <w:sz w:val="54"/>
        </w:rPr>
        <w:t>MINIX 3.3.0</w:t>
        <w:br/>
        <w:t>Implementation and Native Test Report</w:t>
      </w:r>
    </w:p>
    <w:p>
      <w:pPr>
        <w:spacing w:after="1200"/>
        <w:jc w:val="center"/>
      </w:pPr>
      <w:r>
        <w:rPr>
          <w:i/>
          <w:sz w:val="24"/>
        </w:rPr>
        <w:t>Scheduling • Hierarchical Paging • Extent-Aware MFS Allocation</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700"/>
            <w:shd w:fill="F2F4F7"/>
          </w:tcPr>
          <w:p>
            <w:r>
              <w:rPr>
                <w:b/>
                <w:sz w:val="17"/>
              </w:rPr>
              <w:t>Course</w:t>
            </w:r>
          </w:p>
        </w:tc>
        <w:tc>
          <w:tcPr>
            <w:tcW w:type="dxa" w:w="3000"/>
            <w:shd w:fill="F2F4F7"/>
          </w:tcPr>
          <w:p>
            <w:r>
              <w:rPr>
                <w:b/>
                <w:sz w:val="17"/>
              </w:rPr>
              <w:t>Prepared by</w:t>
            </w:r>
          </w:p>
        </w:tc>
        <w:tc>
          <w:tcPr>
            <w:tcW w:type="dxa" w:w="1800"/>
            <w:shd w:fill="F2F4F7"/>
          </w:tcPr>
          <w:p>
            <w:r>
              <w:rPr>
                <w:b/>
                <w:sz w:val="17"/>
              </w:rPr>
              <w:t>Term</w:t>
            </w:r>
          </w:p>
        </w:tc>
        <w:tc>
          <w:tcPr>
            <w:tcW w:type="dxa" w:w="2800"/>
            <w:shd w:fill="F2F4F7"/>
          </w:tcPr>
          <w:p>
            <w:r>
              <w:rPr>
                <w:b/>
                <w:sz w:val="17"/>
              </w:rPr>
              <w:t>Validated</w:t>
            </w:r>
          </w:p>
        </w:tc>
      </w:tr>
      <w:tr>
        <w:tc>
          <w:tcPr>
            <w:tcW w:type="dxa" w:w="1700"/>
            <w:vAlign w:val="center"/>
          </w:tcPr>
          <w:p>
            <w:r>
              <w:rPr>
                <w:sz w:val="17"/>
              </w:rPr>
              <w:t>CSE335</w:t>
            </w:r>
          </w:p>
        </w:tc>
        <w:tc>
          <w:tcPr>
            <w:tcW w:type="dxa" w:w="3000"/>
            <w:vAlign w:val="center"/>
          </w:tcPr>
          <w:p>
            <w:r>
              <w:rPr>
                <w:sz w:val="17"/>
              </w:rPr>
              <w:t>Rodina and project team</w:t>
            </w:r>
          </w:p>
        </w:tc>
        <w:tc>
          <w:tcPr>
            <w:tcW w:type="dxa" w:w="1800"/>
            <w:vAlign w:val="center"/>
          </w:tcPr>
          <w:p>
            <w:r>
              <w:rPr>
                <w:sz w:val="17"/>
              </w:rPr>
              <w:t>Summer 2026</w:t>
            </w:r>
          </w:p>
        </w:tc>
        <w:tc>
          <w:tcPr>
            <w:tcW w:type="dxa" w:w="2800"/>
            <w:vAlign w:val="center"/>
          </w:tcPr>
          <w:p>
            <w:r>
              <w:rPr>
                <w:sz w:val="17"/>
              </w:rPr>
              <w:t>MINIX 3.3.0 VM</w:t>
            </w:r>
          </w:p>
        </w:tc>
      </w:tr>
    </w:tbl>
    <w:p>
      <w:r>
        <w:t>This concise report explains what was changed, how it was built and tested, and what the native MINIX run produced. Raw CSV files and the complete validation log are included under project-deliverables/native-results.</w:t>
      </w:r>
    </w:p>
    <w:p>
      <w:r>
        <w:br w:type="page"/>
      </w:r>
    </w:p>
    <w:p>
      <w:pPr>
        <w:pStyle w:val="Heading1"/>
      </w:pPr>
      <w: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t>3. Requirement 1 — scheduling</w:t>
      </w:r>
    </w:p>
    <w:p>
      <w:pPr>
        <w:pStyle w:val="Heading2"/>
      </w:pPr>
      <w: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80"/>
        <w:jc w:val="center"/>
      </w:pPr>
      <w:r>
        <w:drawing>
          <wp:inline xmlns:a="http://schemas.openxmlformats.org/drawingml/2006/main" xmlns:pic="http://schemas.openxmlformats.org/drawingml/2006/picture">
            <wp:extent cx="5715000" cy="4237612"/>
            <wp:docPr id="1" name="Picture 1"/>
            <wp:cNvGraphicFramePr>
              <a:graphicFrameLocks noChangeAspect="1"/>
            </wp:cNvGraphicFramePr>
            <a:graphic>
              <a:graphicData uri="http://schemas.openxmlformats.org/drawingml/2006/picture">
                <pic:pic>
                  <pic:nvPicPr>
                    <pic:cNvPr id="0" name="code-scheduling.png"/>
                    <pic:cNvPicPr/>
                  </pic:nvPicPr>
                  <pic:blipFill>
                    <a:blip r:embed="rId11"/>
                    <a:stretch>
                      <a:fillRect/>
                    </a:stretch>
                  </pic:blipFill>
                  <pic:spPr>
                    <a:xfrm>
                      <a:off x="0" y="0"/>
                      <a:ext cx="5715000" cy="4237612"/>
                    </a:xfrm>
                    <a:prstGeom prst="rect"/>
                  </pic:spPr>
                </pic:pic>
              </a:graphicData>
            </a:graphic>
          </wp:inline>
        </w:drawing>
      </w:r>
    </w:p>
    <w:p>
      <w:pPr>
        <w:spacing w:after="180"/>
        <w:jc w:val="center"/>
      </w:pPr>
      <w:r>
        <w:rPr>
          <w:i/>
          <w:color w:val="5A5A5A"/>
          <w:sz w:val="17"/>
        </w:rPr>
        <w:t>Figure 1. Edited scheduler loop: policy selection, idle-time advance, and slice calculation.</w:t>
      </w:r>
    </w:p>
    <w:p>
      <w:pPr>
        <w:pStyle w:val="Heading2"/>
      </w:pPr>
      <w: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t>4. Requirement 2 — hierarchical paging</w:t>
      </w:r>
    </w:p>
    <w:p>
      <w:pPr>
        <w:pStyle w:val="Heading2"/>
      </w:pPr>
      <w: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80"/>
        <w:jc w:val="center"/>
      </w:pPr>
      <w:r>
        <w:drawing>
          <wp:inline xmlns:a="http://schemas.openxmlformats.org/drawingml/2006/main" xmlns:pic="http://schemas.openxmlformats.org/drawingml/2006/picture">
            <wp:extent cx="5074920" cy="2845195"/>
            <wp:docPr id="2" name="Picture 2"/>
            <wp:cNvGraphicFramePr>
              <a:graphicFrameLocks noChangeAspect="1"/>
            </wp:cNvGraphicFramePr>
            <a:graphic>
              <a:graphicData uri="http://schemas.openxmlformats.org/drawingml/2006/picture">
                <pic:pic>
                  <pic:nvPicPr>
                    <pic:cNvPr id="0" name="code-paging.png"/>
                    <pic:cNvPicPr/>
                  </pic:nvPicPr>
                  <pic:blipFill>
                    <a:blip r:embed="rId12"/>
                    <a:stretch>
                      <a:fillRect/>
                    </a:stretch>
                  </pic:blipFill>
                  <pic:spPr>
                    <a:xfrm>
                      <a:off x="0" y="0"/>
                      <a:ext cx="5074920" cy="2845195"/>
                    </a:xfrm>
                    <a:prstGeom prst="rect"/>
                  </pic:spPr>
                </pic:pic>
              </a:graphicData>
            </a:graphic>
          </wp:inline>
        </w:drawing>
      </w:r>
    </w:p>
    <w:p>
      <w:pPr>
        <w:spacing w:after="180"/>
        <w:jc w:val="center"/>
      </w:pPr>
      <w:r>
        <w:rPr>
          <w:i/>
          <w:color w:val="5A5A5A"/>
          <w:sz w:val="17"/>
        </w:rPr>
        <w:t>Figure 2. Edited FIFO/LRU victim-selection logic.</w:t>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t>5. Requirement 3 — extent-aware MFS</w:t>
      </w:r>
    </w:p>
    <w:p>
      <w:pPr>
        <w:pStyle w:val="Heading2"/>
      </w:pPr>
      <w: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80"/>
        <w:jc w:val="center"/>
      </w:pPr>
      <w:r>
        <w:drawing>
          <wp:inline xmlns:a="http://schemas.openxmlformats.org/drawingml/2006/main" xmlns:pic="http://schemas.openxmlformats.org/drawingml/2006/picture">
            <wp:extent cx="5715000" cy="3617473"/>
            <wp:docPr id="3" name="Picture 3"/>
            <wp:cNvGraphicFramePr>
              <a:graphicFrameLocks noChangeAspect="1"/>
            </wp:cNvGraphicFramePr>
            <a:graphic>
              <a:graphicData uri="http://schemas.openxmlformats.org/drawingml/2006/picture">
                <pic:pic>
                  <pic:nvPicPr>
                    <pic:cNvPr id="0" name="code-mfs-extents.png"/>
                    <pic:cNvPicPr/>
                  </pic:nvPicPr>
                  <pic:blipFill>
                    <a:blip r:embed="rId13"/>
                    <a:stretch>
                      <a:fillRect/>
                    </a:stretch>
                  </pic:blipFill>
                  <pic:spPr>
                    <a:xfrm>
                      <a:off x="0" y="0"/>
                      <a:ext cx="5715000" cy="3617473"/>
                    </a:xfrm>
                    <a:prstGeom prst="rect"/>
                  </pic:spPr>
                </pic:pic>
              </a:graphicData>
            </a:graphic>
          </wp:inline>
        </w:drawing>
      </w:r>
    </w:p>
    <w:p>
      <w:pPr>
        <w:spacing w:after="180"/>
        <w:jc w:val="center"/>
      </w:pPr>
      <w:r>
        <w:rPr>
          <w:i/>
          <w:color w:val="5A5A5A"/>
          <w:sz w:val="17"/>
        </w:rPr>
        <w:t>Figure 3. Edited MFS allocation path: preferred run, counters, and safe fallback.</w:t>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t>6. Native MINIX build and test evidence</w:t>
      </w:r>
    </w:p>
    <w:p>
      <w:pPr>
        <w:pStyle w:val="Heading2"/>
      </w:pPr>
      <w: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80"/>
        <w:jc w:val="center"/>
      </w:pPr>
      <w:r>
        <w:drawing>
          <wp:inline xmlns:a="http://schemas.openxmlformats.org/drawingml/2006/main" xmlns:pic="http://schemas.openxmlformats.org/drawingml/2006/picture">
            <wp:extent cx="5852160" cy="3251200"/>
            <wp:docPr id="4" name="Picture 4"/>
            <wp:cNvGraphicFramePr>
              <a:graphicFrameLocks noChangeAspect="1"/>
            </wp:cNvGraphicFramePr>
            <a:graphic>
              <a:graphicData uri="http://schemas.openxmlformats.org/drawingml/2006/picture">
                <pic:pic>
                  <pic:nvPicPr>
                    <pic:cNvPr id="0" name="minix-native-validation.png"/>
                    <pic:cNvPicPr/>
                  </pic:nvPicPr>
                  <pic:blipFill>
                    <a:blip r:embed="rId14"/>
                    <a:stretch>
                      <a:fillRect/>
                    </a:stretch>
                  </pic:blipFill>
                  <pic:spPr>
                    <a:xfrm>
                      <a:off x="0" y="0"/>
                      <a:ext cx="5852160" cy="3251200"/>
                    </a:xfrm>
                    <a:prstGeom prst="rect"/>
                  </pic:spPr>
                </pic:pic>
              </a:graphicData>
            </a:graphic>
          </wp:inline>
        </w:drawing>
      </w:r>
    </w:p>
    <w:p>
      <w:pPr>
        <w:spacing w:after="180"/>
        <w:jc w:val="center"/>
      </w:pPr>
      <w:r>
        <w:rPr>
          <w:i/>
          <w:color w:val="5A5A5A"/>
          <w:sz w:val="17"/>
        </w:rPr>
        <w:t>Figure 4. Actual VirtualBox MINIX console: PASS results, CSV row counts/checksums, and MFS counters.</w:t>
      </w:r>
    </w:p>
    <w:p>
      <w:r>
        <w:br w:type="page"/>
      </w:r>
    </w:p>
    <w:p>
      <w:pPr>
        <w:pStyle w:val="Heading2"/>
      </w:pPr>
      <w:r>
        <w:t>MFS extent console output</w:t>
      </w:r>
    </w:p>
    <w:p>
      <w:pPr>
        <w:spacing w:after="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mfs-extent-results.png"/>
                    <pic:cNvPicPr/>
                  </pic:nvPicPr>
                  <pic:blipFill>
                    <a:blip r:embed="rId15"/>
                    <a:stretch>
                      <a:fillRect/>
                    </a:stretch>
                  </pic:blipFill>
                  <pic:spPr>
                    <a:xfrm>
                      <a:off x="0" y="0"/>
                      <a:ext cx="5852160" cy="3251200"/>
                    </a:xfrm>
                    <a:prstGeom prst="rect"/>
                  </pic:spPr>
                </pic:pic>
              </a:graphicData>
            </a:graphic>
          </wp:inline>
        </w:drawing>
      </w:r>
    </w:p>
    <w:p>
      <w:pPr>
        <w:spacing w:after="180"/>
        <w:jc w:val="center"/>
      </w:pPr>
      <w:r>
        <w:rPr>
          <w:i/>
          <w:color w:val="5A5A5A"/>
          <w:sz w:val="17"/>
        </w:rPr>
        <w:t>Figure 5. Actual MINIX console: final extent-size counters recorded by MFS.</w:t>
      </w:r>
    </w:p>
    <w:p>
      <w:pPr>
        <w:pStyle w:val="Heading1"/>
      </w:pPr>
      <w: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w:t>
      </w:r>
    </w:p>
    <w:p>
      <w:pPr>
        <w:pStyle w:val="Heading2"/>
      </w:pPr>
      <w:r>
        <w:t>Submission evidence</w:t>
      </w:r>
    </w:p>
    <w:p>
      <w:pPr>
        <w:pStyle w:val="ListBullet"/>
      </w:pPr>
      <w:r>
        <w:t>Raw results: project-deliverables/native-results/*.csv and native-validation.txt</w:t>
      </w:r>
    </w:p>
    <w:p>
      <w:pPr>
        <w:pStyle w:val="ListBullet"/>
      </w:pPr>
      <w:r>
        <w:t>Source comparison: git diff baseline-v3.3.0..HEAD</w:t>
      </w:r>
    </w:p>
    <w:p>
      <w:pPr>
        <w:pStyle w:val="ListBullet"/>
      </w:pPr>
      <w:r>
        <w:t>Report builder: tools/create_cse335_report.py</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368"/>
        <w:sz w:val="17"/>
      </w:rPr>
      <w:t>CSE335 Operating Systems Project  |  MINIX 3.3.0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Rodina and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