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9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Настройка DNS-сервера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установки и настройки DNS-сервера BIND, создания прямой и обратной зон, проверки разрешения доменных имён и автоматизации конфигурации серверной виртуальной машины средствами Vagrant.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пакеты BIND и изучить основные конфигурационные файлы DNS-сервера.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Настроить локальный DNS-сервер и сетевые параметры серверной виртуальной машины.</w:t>
      </w:r>
    </w:p>
    <w:p>
      <w:pPr>
        <w:pStyle w:val="Compact"/>
        <w:numPr>
          <w:ilvl w:val="0"/>
          <w:numId w:val="1001"/>
        </w:numPr>
      </w:pPr>
      <w:r>
        <w:t xml:space="preserve">Создать прямую зону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 </w:t>
      </w:r>
      <w:r>
        <w:t xml:space="preserve">и обратную зону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Настроить права доступа, контексты и логические параметры SELinux, а также разрешить службу DNS в межсетевом экране.</w:t>
      </w:r>
    </w:p>
    <w:p>
      <w:pPr>
        <w:pStyle w:val="Compact"/>
        <w:numPr>
          <w:ilvl w:val="0"/>
          <w:numId w:val="1001"/>
        </w:numPr>
      </w:pPr>
      <w:r>
        <w:t xml:space="preserve">Проверить прямое и обратное разрешение имён средствами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сценарий автоматической настройки DNS-сервера и подключить его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0"/>
    <w:bookmarkStart w:id="16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1" w:name="подготовка-серверной-виртуальной-машины"/>
    <w:p>
      <w:pPr>
        <w:pStyle w:val="Heading2"/>
      </w:pPr>
      <w:r>
        <w:t xml:space="preserve">3.1 Подготовка серверной виртуальной машины</w:t>
      </w:r>
    </w:p>
    <w:p>
      <w:pPr>
        <w:pStyle w:val="FirstParagraph"/>
      </w:pPr>
      <w:r>
        <w:t xml:space="preserve">В каталоге проекта была запущена серверная виртуальная машина 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201"/>
          <w:p>
            <w:pPr>
              <w:pStyle w:val="Compact"/>
              <w:jc w:val="center"/>
            </w:pPr>
            <w:r>
              <w:drawing>
                <wp:inline>
                  <wp:extent cx="4800600" cy="2246434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46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виртуальной машины server</w:t>
            </w:r>
          </w:p>
          <w:bookmarkEnd w:id="14"/>
        </w:tc>
      </w:tr>
    </w:tbl>
    <w:p>
      <w:pPr>
        <w:pStyle w:val="BodyText"/>
      </w:pPr>
      <w:r>
        <w:t xml:space="preserve">После запуска выполнено подключение к серверу по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02"/>
          <w:p>
            <w:pPr>
              <w:pStyle w:val="Compact"/>
              <w:jc w:val="center"/>
            </w:pPr>
            <w:r>
              <w:drawing>
                <wp:inline>
                  <wp:extent cx="4800600" cy="869339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69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к server по SSH</w:t>
            </w:r>
          </w:p>
          <w:bookmarkEnd w:id="18"/>
        </w:tc>
      </w:tr>
    </w:tbl>
    <w:p>
      <w:pPr>
        <w:pStyle w:val="BodyText"/>
      </w:pPr>
      <w:r>
        <w:t xml:space="preserve">Для дальнейшей работы выполнен переход в учётную запись</w:t>
      </w:r>
      <w:r>
        <w:t xml:space="preserve"> </w:t>
      </w:r>
      <w:r>
        <w:rPr>
          <w:rStyle w:val="VerbatimChar"/>
        </w:rPr>
        <w:t xml:space="preserve">rapavlichenko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203"/>
          <w:p>
            <w:pPr>
              <w:pStyle w:val="Compact"/>
              <w:jc w:val="center"/>
            </w:pPr>
            <w:r>
              <w:drawing>
                <wp:inline>
                  <wp:extent cx="4800600" cy="792406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92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учётную запись пользователя</w:t>
            </w:r>
          </w:p>
          <w:bookmarkEnd w:id="22"/>
        </w:tc>
      </w:tr>
    </w:tbl>
    <w:p>
      <w:pPr>
        <w:pStyle w:val="BodyText"/>
      </w:pPr>
      <w:r>
        <w:t xml:space="preserve">Получены полномочия суперпользователя для настройки системных служб.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204"/>
          <w:p>
            <w:pPr>
              <w:pStyle w:val="Compact"/>
              <w:jc w:val="center"/>
            </w:pPr>
            <w:r>
              <w:drawing>
                <wp:inline>
                  <wp:extent cx="4800600" cy="201563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15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Получение прав суперпользователя</w:t>
            </w:r>
          </w:p>
          <w:bookmarkEnd w:id="26"/>
        </w:tc>
      </w:tr>
    </w:tbl>
    <w:p>
      <w:pPr>
        <w:pStyle w:val="BodyText"/>
      </w:pPr>
      <w:r>
        <w:t xml:space="preserve">Установлены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содержащие DNS-сервер BIND и диагностические утилиты.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205"/>
          <w:p>
            <w:pPr>
              <w:pStyle w:val="Compact"/>
              <w:jc w:val="center"/>
            </w:pPr>
            <w:r>
              <w:drawing>
                <wp:inline>
                  <wp:extent cx="4800600" cy="54622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6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BIND и диагностических утилит</w:t>
            </w:r>
          </w:p>
          <w:bookmarkEnd w:id="30"/>
        </w:tc>
      </w:tr>
    </w:tbl>
    <w:bookmarkEnd w:id="31"/>
    <w:bookmarkStart w:id="64" w:name="исследование-исходной-конфигурации-dns"/>
    <w:p>
      <w:pPr>
        <w:pStyle w:val="Heading2"/>
      </w:pPr>
      <w:r>
        <w:t xml:space="preserve">3.2 Исследование исходной конфигурации DNS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проверена текущая работа DNS. Первый сервер из списка не отвечал, после чего запрос был успешно обработан доступным DNS-сервером и вернул A-записи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206"/>
          <w:p>
            <w:pPr>
              <w:pStyle w:val="Compact"/>
              <w:jc w:val="center"/>
            </w:pPr>
            <w:r>
              <w:drawing>
                <wp:inline>
                  <wp:extent cx="4800600" cy="378179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81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исходного разрешения имени</w:t>
            </w:r>
          </w:p>
          <w:bookmarkEnd w:id="35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изучены поисковый домен и последовательность DNS-серверов, используемых системой.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207"/>
          <w:p>
            <w:pPr>
              <w:pStyle w:val="Compact"/>
              <w:jc w:val="center"/>
            </w:pPr>
            <w:r>
              <w:drawing>
                <wp:inline>
                  <wp:extent cx="4800600" cy="158481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84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Содержимое файла resolv.conf</w:t>
            </w:r>
          </w:p>
          <w:bookmarkEnd w:id="39"/>
        </w:tc>
      </w:tr>
    </w:tbl>
    <w:p>
      <w:pPr>
        <w:pStyle w:val="BodyText"/>
      </w:pPr>
      <w:r>
        <w:t xml:space="preserve">Рассмотрен основной конфигурационный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. В нём задаются адреса прослушивания, разрешённые клиенты, рекурсия, DNSSEC и подключаемые файлы зон.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208"/>
          <w:p>
            <w:pPr>
              <w:pStyle w:val="Compact"/>
              <w:jc w:val="center"/>
            </w:pPr>
            <w:r>
              <w:drawing>
                <wp:inline>
                  <wp:extent cx="2933700" cy="439087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4390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Исходный файл named.conf</w:t>
            </w:r>
          </w:p>
          <w:bookmarkEnd w:id="43"/>
        </w:tc>
      </w:tr>
    </w:tbl>
    <w:p>
      <w:pPr>
        <w:pStyle w:val="BodyText"/>
      </w:pPr>
      <w:r>
        <w:t xml:space="preserve">Изучен файл корневых серверов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, который используется BIND для выполнения рекурсивных запросов начиная с корневой зоны DNS.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209"/>
          <w:p>
            <w:pPr>
              <w:pStyle w:val="Compact"/>
              <w:jc w:val="center"/>
            </w:pPr>
            <w:r>
              <w:drawing>
                <wp:inline>
                  <wp:extent cx="2400300" cy="383940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2.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3839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корневых DNS-серверов</w:t>
            </w:r>
          </w:p>
          <w:bookmarkEnd w:id="47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рассмотрен как пример прямой локальной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210"/>
          <w:p>
            <w:pPr>
              <w:pStyle w:val="Compact"/>
              <w:jc w:val="center"/>
            </w:pPr>
            <w:r>
              <w:drawing>
                <wp:inline>
                  <wp:extent cx="4800600" cy="160961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2.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0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Шаблон прямой локальной зоны</w:t>
            </w:r>
          </w:p>
          <w:bookmarkEnd w:id="51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рассмотрен как пример обратной зоны с PTR-записью.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211"/>
          <w:p>
            <w:pPr>
              <w:pStyle w:val="Compact"/>
              <w:jc w:val="center"/>
            </w:pPr>
            <w:r>
              <w:drawing>
                <wp:inline>
                  <wp:extent cx="4800600" cy="207491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2.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74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Шаблон обратной локальной зоны</w:t>
            </w:r>
          </w:p>
          <w:bookmarkEnd w:id="55"/>
        </w:tc>
      </w:tr>
    </w:tbl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была запущена для проверки базовой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212"/>
          <w:p>
            <w:pPr>
              <w:pStyle w:val="Compact"/>
              <w:jc w:val="center"/>
            </w:pPr>
            <w:r>
              <w:drawing>
                <wp:inline>
                  <wp:extent cx="4543124" cy="43313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2.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124" cy="43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Первый запуск службы named</w:t>
            </w:r>
          </w:p>
          <w:bookmarkEnd w:id="59"/>
        </w:tc>
      </w:tr>
    </w:tbl>
    <w:p>
      <w:pPr>
        <w:pStyle w:val="BodyText"/>
      </w:pPr>
      <w:r>
        <w:t xml:space="preserve">Повторный запрос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показал, что системный DNS ещё не направлен на локальный сервер: внешний запрос выполнялся через вышестоящий сервер, а обращение к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завершалось ошибкой.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213"/>
          <w:p>
            <w:pPr>
              <w:pStyle w:val="Compact"/>
              <w:jc w:val="center"/>
            </w:pPr>
            <w:r>
              <w:drawing>
                <wp:inline>
                  <wp:extent cx="3093720" cy="428414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2.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4284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DNS после первого запуска named</w:t>
            </w:r>
          </w:p>
          <w:bookmarkEnd w:id="63"/>
        </w:tc>
      </w:tr>
    </w:tbl>
    <w:bookmarkEnd w:id="64"/>
    <w:bookmarkStart w:id="97" w:name="X6191e7f76a406d057a72a92530fb6951bfc1de3"/>
    <w:p>
      <w:pPr>
        <w:pStyle w:val="Heading2"/>
      </w:pPr>
      <w:r>
        <w:t xml:space="preserve">3.3 Настройка локального DNS и сетевого доступа</w:t>
      </w:r>
    </w:p>
    <w:p>
      <w:pPr>
        <w:pStyle w:val="FirstParagraph"/>
      </w:pPr>
      <w:r>
        <w:t xml:space="preserve">Для изменения параметров подключения был открыт интерактивный редактор NetworkManager</w:t>
      </w:r>
      <w:r>
        <w:t xml:space="preserve"> </w:t>
      </w:r>
      <w:r>
        <w:rPr>
          <w:rStyle w:val="VerbatimChar"/>
        </w:rPr>
        <w:t xml:space="preserve">nmcli connection edit eth0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214"/>
          <w:p>
            <w:pPr>
              <w:pStyle w:val="Compact"/>
              <w:jc w:val="center"/>
            </w:pPr>
            <w:r>
              <w:drawing>
                <wp:inline>
                  <wp:extent cx="4800600" cy="38801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2.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8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Открытие редактора подключения eth0</w:t>
            </w:r>
          </w:p>
          <w:bookmarkEnd w:id="68"/>
        </w:tc>
      </w:tr>
    </w:tbl>
    <w:p>
      <w:pPr>
        <w:pStyle w:val="BodyText"/>
      </w:pPr>
      <w:r>
        <w:t xml:space="preserve">В редакторе выбрано существующее подключение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215"/>
          <w:p>
            <w:pPr>
              <w:pStyle w:val="Compact"/>
              <w:jc w:val="center"/>
            </w:pPr>
            <w:r>
              <w:drawing>
                <wp:inline>
                  <wp:extent cx="4800600" cy="29119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2.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Редактирование подключения eth0</w:t>
            </w:r>
          </w:p>
          <w:bookmarkEnd w:id="72"/>
        </w:tc>
      </w:tr>
    </w:tbl>
    <w:p>
      <w:pPr>
        <w:pStyle w:val="BodyText"/>
      </w:pPr>
      <w:r>
        <w:t xml:space="preserve">Автоматически полученные DNS-серверы удалены, включён параметр</w:t>
      </w:r>
      <w:r>
        <w:t xml:space="preserve"> </w:t>
      </w:r>
      <w:r>
        <w:rPr>
          <w:rStyle w:val="VerbatimChar"/>
        </w:rPr>
        <w:t xml:space="preserve">ipv4.ignore-auto-dns</w:t>
      </w:r>
      <w:r>
        <w:t xml:space="preserve">, а в качестве DNS указан локальный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216"/>
          <w:p>
            <w:pPr>
              <w:pStyle w:val="Compact"/>
              <w:jc w:val="center"/>
            </w:pPr>
            <w:r>
              <w:drawing>
                <wp:inline>
                  <wp:extent cx="4800600" cy="96165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2.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61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локального DNS в nmcli</w:t>
            </w:r>
          </w:p>
          <w:bookmarkEnd w:id="76"/>
        </w:tc>
      </w:tr>
    </w:tbl>
    <w:p>
      <w:pPr>
        <w:pStyle w:val="BodyText"/>
      </w:pPr>
      <w:r>
        <w:t xml:space="preserve">Изменения подключения сохранены и редактор закрыт.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217"/>
          <w:p>
            <w:pPr>
              <w:pStyle w:val="Compact"/>
              <w:jc w:val="center"/>
            </w:pPr>
            <w:r>
              <w:drawing>
                <wp:inline>
                  <wp:extent cx="4800600" cy="260032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2.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Сохранение параметров eth0</w:t>
            </w:r>
          </w:p>
          <w:bookmarkEnd w:id="80"/>
        </w:tc>
      </w:tr>
    </w:tbl>
    <w:p>
      <w:pPr>
        <w:pStyle w:val="BodyText"/>
      </w:pPr>
      <w:r>
        <w:t xml:space="preserve">После перезапуска NetworkManager в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появился локальный DNS-сервер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218"/>
          <w:p>
            <w:pPr>
              <w:pStyle w:val="Compact"/>
              <w:jc w:val="center"/>
            </w:pPr>
            <w:r>
              <w:drawing>
                <wp:inline>
                  <wp:extent cx="4800600" cy="111552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2.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1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обновлённого resolv.conf</w:t>
            </w:r>
          </w:p>
          <w:bookmarkEnd w:id="84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сервер настроен на прослушивание нужных интерфейсов, а запросы разрешены для локального узла и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219"/>
          <w:p>
            <w:pPr>
              <w:pStyle w:val="Compact"/>
              <w:jc w:val="center"/>
            </w:pPr>
            <w:r>
              <w:drawing>
                <wp:inline>
                  <wp:extent cx="4800600" cy="376200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2.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62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параметров named.conf</w:t>
            </w:r>
          </w:p>
          <w:bookmarkEnd w:id="88"/>
        </w:tc>
      </w:tr>
    </w:tbl>
    <w:p>
      <w:pPr>
        <w:pStyle w:val="BodyText"/>
      </w:pPr>
      <w:r>
        <w:t xml:space="preserve">В межсетевом экране служба DNS разрешена для текущей и постоянной конфигураций.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220"/>
          <w:p>
            <w:pPr>
              <w:pStyle w:val="Compact"/>
              <w:jc w:val="center"/>
            </w:pPr>
            <w:r>
              <w:drawing>
                <wp:inline>
                  <wp:extent cx="4800600" cy="76932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.20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69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Разрешение службы DNS в firewalld</w:t>
            </w:r>
          </w:p>
          <w:bookmarkEnd w:id="92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проверено использование UDP-портов. DNS-служба должна прослушивать порт 53.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221"/>
          <w:p>
            <w:pPr>
              <w:pStyle w:val="Compact"/>
              <w:jc w:val="center"/>
            </w:pPr>
            <w:r>
              <w:drawing>
                <wp:inline>
                  <wp:extent cx="4800600" cy="132324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.2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23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используемых UDP-портов</w:t>
            </w:r>
          </w:p>
          <w:bookmarkEnd w:id="96"/>
        </w:tc>
      </w:tr>
    </w:tbl>
    <w:bookmarkEnd w:id="97"/>
    <w:bookmarkStart w:id="146" w:name="создание-прямой-и-обратной-dns-зон"/>
    <w:p>
      <w:pPr>
        <w:pStyle w:val="Heading2"/>
      </w:pPr>
      <w:r>
        <w:t xml:space="preserve">3.4 Создание прямой и обратной DNS-зон</w:t>
      </w:r>
    </w:p>
    <w:p>
      <w:pPr>
        <w:pStyle w:val="FirstParagraph"/>
      </w:pPr>
      <w:r>
        <w:t xml:space="preserve">Файл с примерами зон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скопирован 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22"/>
          <w:p>
            <w:pPr>
              <w:pStyle w:val="Compact"/>
              <w:jc w:val="center"/>
            </w:pPr>
            <w:r>
              <w:drawing>
                <wp:inline>
                  <wp:extent cx="4800600" cy="114629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.22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46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Подготовка файла описания зон</w:t>
            </w:r>
          </w:p>
          <w:bookmarkEnd w:id="101"/>
        </w:tc>
      </w:tr>
    </w:tbl>
    <w:p>
      <w:pPr>
        <w:pStyle w:val="BodyText"/>
      </w:pPr>
      <w:r>
        <w:t xml:space="preserve">Подключение пользовательского файла зон добавлено в основной файл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23"/>
          <w:p>
            <w:pPr>
              <w:pStyle w:val="Compact"/>
              <w:jc w:val="center"/>
            </w:pPr>
            <w:r>
              <w:drawing>
                <wp:inline>
                  <wp:extent cx="4800600" cy="210735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.23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0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Подключение файла user.net</w:t>
            </w:r>
          </w:p>
          <w:bookmarkEnd w:id="105"/>
        </w:tc>
      </w:tr>
    </w:tbl>
    <w:p>
      <w:pPr>
        <w:pStyle w:val="BodyText"/>
      </w:pPr>
      <w:r>
        <w:t xml:space="preserve">В пользовательском файле описаны прямая зона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 </w:t>
      </w:r>
      <w:r>
        <w:t xml:space="preserve">и 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24"/>
          <w:p>
            <w:pPr>
              <w:pStyle w:val="Compact"/>
              <w:jc w:val="center"/>
            </w:pPr>
            <w:r>
              <w:drawing>
                <wp:inline>
                  <wp:extent cx="2773680" cy="230251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.24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680" cy="2302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Описание прямой и обратной зон</w:t>
            </w:r>
          </w:p>
          <w:bookmarkEnd w:id="109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подкаталоги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для прямых зон и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 </w:t>
      </w:r>
      <w:r>
        <w:t xml:space="preserve">для обратных зон.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5"/>
          <w:p>
            <w:pPr>
              <w:pStyle w:val="Compact"/>
              <w:jc w:val="center"/>
            </w:pPr>
            <w:r>
              <w:drawing>
                <wp:inline>
                  <wp:extent cx="4800600" cy="64623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.25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46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каталогов файлов зон</w:t>
            </w:r>
          </w:p>
          <w:bookmarkEnd w:id="113"/>
        </w:tc>
      </w:tr>
    </w:tbl>
    <w:p>
      <w:pPr>
        <w:pStyle w:val="BodyText"/>
      </w:pPr>
      <w:r>
        <w:t xml:space="preserve">Шаблон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скопирован в каталог прямой зоны и переименован в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26"/>
          <w:p>
            <w:pPr>
              <w:pStyle w:val="Compact"/>
              <w:jc w:val="center"/>
            </w:pPr>
            <w:r>
              <w:drawing>
                <wp:inline>
                  <wp:extent cx="4800600" cy="8924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.26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Подготовка файла прямой зоны</w:t>
            </w:r>
          </w:p>
          <w:bookmarkEnd w:id="117"/>
        </w:tc>
      </w:tr>
    </w:tbl>
    <w:p>
      <w:pPr>
        <w:pStyle w:val="BodyText"/>
      </w:pPr>
      <w:r>
        <w:t xml:space="preserve">В файле прямой зоны определены SOA- и NS-записи, а также A-записи узлов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27"/>
          <w:p>
            <w:pPr>
              <w:pStyle w:val="Compact"/>
              <w:jc w:val="center"/>
            </w:pPr>
            <w:r>
              <w:drawing>
                <wp:inline>
                  <wp:extent cx="4800600" cy="136170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.27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61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Содержимое прямой зоны rapavlichenko.net</w:t>
            </w:r>
          </w:p>
          <w:bookmarkEnd w:id="121"/>
        </w:tc>
      </w:tr>
    </w:tbl>
    <w:p>
      <w:pPr>
        <w:pStyle w:val="BodyText"/>
      </w:pPr>
      <w:r>
        <w:t xml:space="preserve">Шаблон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 </w:t>
      </w:r>
      <w:r>
        <w:t xml:space="preserve">скопирован в каталог обратной зоны и переименован в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228"/>
          <w:p>
            <w:pPr>
              <w:pStyle w:val="Compact"/>
              <w:jc w:val="center"/>
            </w:pPr>
            <w:r>
              <w:drawing>
                <wp:inline>
                  <wp:extent cx="4800600" cy="63854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.2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38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Подготовка файла обратной зоны</w:t>
            </w:r>
          </w:p>
          <w:bookmarkEnd w:id="125"/>
        </w:tc>
      </w:tr>
    </w:tbl>
    <w:p>
      <w:pPr>
        <w:pStyle w:val="BodyText"/>
      </w:pPr>
      <w:r>
        <w:t xml:space="preserve">В обратной зоне добавлены PTR-записи, связывающие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именами</w:t>
      </w:r>
      <w:r>
        <w:t xml:space="preserve"> </w:t>
      </w:r>
      <w:r>
        <w:rPr>
          <w:rStyle w:val="VerbatimChar"/>
        </w:rPr>
        <w:t xml:space="preserve">server.rapavlichenko.net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ns.rapavlichenko.net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29"/>
          <w:p>
            <w:pPr>
              <w:pStyle w:val="Compact"/>
              <w:jc w:val="center"/>
            </w:pPr>
            <w:r>
              <w:drawing>
                <wp:inline>
                  <wp:extent cx="4800600" cy="261571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.29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15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Содержимое обратной зоны</w:t>
            </w:r>
          </w:p>
          <w:bookmarkEnd w:id="129"/>
        </w:tc>
      </w:tr>
    </w:tbl>
    <w:p>
      <w:pPr>
        <w:pStyle w:val="BodyText"/>
      </w:pPr>
      <w:r>
        <w:t xml:space="preserve">Для конфигурационных файлов восстановлены владельцы и контексты SELinux.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30"/>
          <w:p>
            <w:pPr>
              <w:pStyle w:val="Compact"/>
              <w:jc w:val="center"/>
            </w:pPr>
            <w:r>
              <w:drawing>
                <wp:inline>
                  <wp:extent cx="4800600" cy="430823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.30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0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Восстановление прав и контекстов SELinux</w:t>
            </w:r>
          </w:p>
          <w:bookmarkEnd w:id="133"/>
        </w:tc>
      </w:tr>
    </w:tbl>
    <w:p>
      <w:pPr>
        <w:pStyle w:val="BodyText"/>
      </w:pPr>
      <w:r>
        <w:t xml:space="preserve">Проверен и включён логический параметр SELinux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, разрешающий службе BIND работу с файлами мастер-зон.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31"/>
          <w:p>
            <w:pPr>
              <w:pStyle w:val="Compact"/>
              <w:jc w:val="center"/>
            </w:pPr>
            <w:r>
              <w:drawing>
                <wp:inline>
                  <wp:extent cx="4800600" cy="738553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.3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38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Настройка параметра SELinux для named</w:t>
            </w:r>
          </w:p>
          <w:bookmarkEnd w:id="137"/>
        </w:tc>
      </w:tr>
    </w:tbl>
    <w:p>
      <w:pPr>
        <w:pStyle w:val="BodyText"/>
      </w:pPr>
      <w:r>
        <w:t xml:space="preserve">В журнале systemd проверена работа служб после изменения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232"/>
          <w:p>
            <w:pPr>
              <w:pStyle w:val="Compact"/>
              <w:jc w:val="center"/>
            </w:pPr>
            <w:r>
              <w:drawing>
                <wp:inline>
                  <wp:extent cx="4800600" cy="2608018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.32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08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Проверка системного журнала</w:t>
            </w:r>
          </w:p>
          <w:bookmarkEnd w:id="141"/>
        </w:tc>
      </w:tr>
    </w:tbl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перезапущена. Команда</w:t>
      </w:r>
      <w:r>
        <w:t xml:space="preserve"> </w:t>
      </w:r>
      <w:r>
        <w:rPr>
          <w:rStyle w:val="VerbatimChar"/>
        </w:rPr>
        <w:t xml:space="preserve">systemctl is-active named</w:t>
      </w:r>
      <w:r>
        <w:t xml:space="preserve"> </w:t>
      </w:r>
      <w:r>
        <w:t xml:space="preserve">подтвердила её активное состояние.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233"/>
          <w:p>
            <w:pPr>
              <w:pStyle w:val="Compact"/>
              <w:jc w:val="center"/>
            </w:pPr>
            <w:r>
              <w:drawing>
                <wp:inline>
                  <wp:extent cx="4800600" cy="723167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2.33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23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Успешный запуск службы named</w:t>
            </w:r>
          </w:p>
          <w:bookmarkEnd w:id="145"/>
        </w:tc>
      </w:tr>
    </w:tbl>
    <w:bookmarkEnd w:id="146"/>
    <w:bookmarkStart w:id="155" w:name="проверка-работы-dns-сервера"/>
    <w:p>
      <w:pPr>
        <w:pStyle w:val="Heading2"/>
      </w:pPr>
      <w:r>
        <w:t xml:space="preserve">3.5 Проверка работы DNS-сервера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dig ns.rapavlichenko.net</w:t>
      </w:r>
      <w:r>
        <w:t xml:space="preserve"> </w:t>
      </w:r>
      <w:r>
        <w:t xml:space="preserve">вернула авторитетный ответ и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что подтвердило работу прямой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234"/>
          <w:p>
            <w:pPr>
              <w:pStyle w:val="Compact"/>
              <w:jc w:val="center"/>
            </w:pPr>
            <w:r>
              <w:drawing>
                <wp:inline>
                  <wp:extent cx="4800600" cy="2538778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2.34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38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Проверка прямой зоны командой dig</w:t>
            </w:r>
          </w:p>
          <w:bookmarkEnd w:id="150"/>
        </w:tc>
      </w:tr>
    </w:tbl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проверены записи зоны и обратное преобразование адреса. Для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получены имена</w:t>
      </w:r>
      <w:r>
        <w:t xml:space="preserve"> </w:t>
      </w:r>
      <w:r>
        <w:rPr>
          <w:rStyle w:val="VerbatimChar"/>
        </w:rPr>
        <w:t xml:space="preserve">server.rapavlichenko.net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ns.rapavlichenko.net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235"/>
          <w:p>
            <w:pPr>
              <w:pStyle w:val="Compact"/>
              <w:jc w:val="center"/>
            </w:pPr>
            <w:r>
              <w:drawing>
                <wp:inline>
                  <wp:extent cx="4800600" cy="188485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2.35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8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Проверка записей командами host</w:t>
            </w:r>
          </w:p>
          <w:bookmarkEnd w:id="154"/>
        </w:tc>
      </w:tr>
    </w:tbl>
    <w:bookmarkEnd w:id="155"/>
    <w:bookmarkStart w:id="168" w:name="автоматизация-настройки-в-vagrant"/>
    <w:p>
      <w:pPr>
        <w:pStyle w:val="Heading2"/>
      </w:pPr>
      <w:r>
        <w:t xml:space="preserve">3.6 Автоматизация настройки в Vagrant</w:t>
      </w:r>
    </w:p>
    <w:p>
      <w:pPr>
        <w:pStyle w:val="FirstParagraph"/>
      </w:pPr>
      <w:r>
        <w:t xml:space="preserve">Рабочая конфигурация BIND и файлы зон скопированы в каталог</w:t>
      </w:r>
      <w:r>
        <w:t xml:space="preserve"> </w:t>
      </w:r>
      <w:r>
        <w:rPr>
          <w:rStyle w:val="VerbatimChar"/>
        </w:rPr>
        <w:t xml:space="preserve">provision/server/dns</w:t>
      </w:r>
      <w:r>
        <w:t xml:space="preserve">, доступный Vagrant.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236"/>
          <w:p>
            <w:pPr>
              <w:pStyle w:val="Compact"/>
              <w:jc w:val="center"/>
            </w:pPr>
            <w:r>
              <w:drawing>
                <wp:inline>
                  <wp:extent cx="4800600" cy="838566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2.36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38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Подготовка файлов автоматической настройки</w:t>
            </w:r>
          </w:p>
          <w:bookmarkEnd w:id="159"/>
        </w:tc>
      </w:tr>
    </w:tbl>
    <w:p>
      <w:pPr>
        <w:pStyle w:val="BodyText"/>
      </w:pPr>
      <w:r>
        <w:t xml:space="preserve">Создан сценарий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который устанавливает пакеты, копирует конфигурацию, настраивает права, SELinux, firewalld и NetworkManager, после чего запускает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237"/>
          <w:p>
            <w:pPr>
              <w:pStyle w:val="Compact"/>
              <w:jc w:val="center"/>
            </w:pPr>
            <w:r>
              <w:drawing>
                <wp:inline>
                  <wp:extent cx="2773680" cy="1613535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2.37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680" cy="1613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Сценарий автоматической настройки DNS</w:t>
            </w:r>
          </w:p>
          <w:bookmarkEnd w:id="163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 provisioner</w:t>
      </w:r>
      <w:r>
        <w:t xml:space="preserve"> </w:t>
      </w:r>
      <w:r>
        <w:rPr>
          <w:rStyle w:val="VerbatimChar"/>
        </w:rPr>
        <w:t xml:space="preserve">server dns</w:t>
      </w:r>
      <w:r>
        <w:t xml:space="preserve">, запускающий подготовленный сценарий при развёртывании серверной виртуальной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238"/>
          <w:p>
            <w:pPr>
              <w:pStyle w:val="Compact"/>
              <w:jc w:val="center"/>
            </w:pPr>
            <w:r>
              <w:drawing>
                <wp:inline>
                  <wp:extent cx="3093720" cy="2439279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2.38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2439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Подключение сценария dns.sh в Vagrantfile</w:t>
            </w:r>
          </w:p>
          <w:bookmarkEnd w:id="167"/>
        </w:tc>
      </w:tr>
    </w:tbl>
    <w:bookmarkEnd w:id="168"/>
    <w:bookmarkEnd w:id="169"/>
    <w:bookmarkStart w:id="188" w:name="контрольные-вопросы"/>
    <w:p>
      <w:pPr>
        <w:pStyle w:val="Heading1"/>
      </w:pPr>
      <w:r>
        <w:t xml:space="preserve">4. Контрольные вопросы</w:t>
      </w:r>
    </w:p>
    <w:bookmarkStart w:id="170" w:name="что-такое-dns"/>
    <w:p>
      <w:pPr>
        <w:pStyle w:val="Heading2"/>
      </w:pPr>
      <w:r>
        <w:t xml:space="preserve">4.1 Что такое DNS</w:t>
      </w:r>
    </w:p>
    <w:p>
      <w:pPr>
        <w:pStyle w:val="FirstParagraph"/>
      </w:pPr>
      <w:r>
        <w:t xml:space="preserve">DNS — распределённая иерархическая система, преобразующая доменные имена в IP-адреса и выполняющая обратное преобразование адресов в имена.</w:t>
      </w:r>
    </w:p>
    <w:bookmarkEnd w:id="170"/>
    <w:bookmarkStart w:id="171" w:name="X247fc3695cb0e79aee59fb12e8b01f2bf4c8f82"/>
    <w:p>
      <w:pPr>
        <w:pStyle w:val="Heading2"/>
      </w:pPr>
      <w:r>
        <w:t xml:space="preserve">4.2 Зачем используется кэширование DNS-запросов</w:t>
      </w:r>
    </w:p>
    <w:p>
      <w:pPr>
        <w:pStyle w:val="FirstParagraph"/>
      </w:pPr>
      <w:r>
        <w:t xml:space="preserve">Кэширование сохраняет полученные ответы на время, указанное в TTL. Это сокращает задержку повторных запросов и уменьшает нагрузку на вышестоящие DNS-серверы.</w:t>
      </w:r>
    </w:p>
    <w:bookmarkEnd w:id="171"/>
    <w:bookmarkStart w:id="172" w:name="Xc0323a2ee9a14d3cd10d370eff1a5a3c3891993"/>
    <w:p>
      <w:pPr>
        <w:pStyle w:val="Heading2"/>
      </w:pPr>
      <w:r>
        <w:t xml:space="preserve">4.3 Чем отличаются прямая и обратная DNS-зоны</w:t>
      </w:r>
    </w:p>
    <w:p>
      <w:pPr>
        <w:pStyle w:val="FirstParagraph"/>
      </w:pPr>
      <w:r>
        <w:t xml:space="preserve">Прямая зона сопоставляет доменное имя с IP-адресом с помощью записей A и AAAA. Обратная зона сопоставляет IP-адрес с доменным именем с помощью записей PTR.</w:t>
      </w:r>
    </w:p>
    <w:bookmarkEnd w:id="172"/>
    <w:bookmarkStart w:id="173" w:name="где-хранятся-основные-файлы-bind"/>
    <w:p>
      <w:pPr>
        <w:pStyle w:val="Heading2"/>
      </w:pPr>
      <w:r>
        <w:t xml:space="preserve">4.4 Где хранятся основные файлы BIND</w:t>
      </w:r>
    </w:p>
    <w:p>
      <w:pPr>
        <w:pStyle w:val="FirstParagraph"/>
      </w:pPr>
      <w:r>
        <w:t xml:space="preserve">Основная конфигурация находится в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 дополнительные описания зон — в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, а файлы данных зон обычно располагаются в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</w:t>
      </w:r>
    </w:p>
    <w:bookmarkEnd w:id="173"/>
    <w:bookmarkStart w:id="174" w:name="что-содержит-файл-resolv.conf"/>
    <w:p>
      <w:pPr>
        <w:pStyle w:val="Heading2"/>
      </w:pPr>
      <w:r>
        <w:t xml:space="preserve">4.5 Что содержит файл resolv.conf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адреса используемых DNS-серверов в директивах</w:t>
      </w:r>
      <w:r>
        <w:t xml:space="preserve"> </w:t>
      </w:r>
      <w:r>
        <w:rPr>
          <w:rStyle w:val="VerbatimChar"/>
        </w:rPr>
        <w:t xml:space="preserve">nameserver</w:t>
      </w:r>
      <w:r>
        <w:t xml:space="preserve">, поисковый домен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и дополнительные параметры резолвера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.</w:t>
      </w:r>
    </w:p>
    <w:bookmarkEnd w:id="174"/>
    <w:bookmarkStart w:id="175" w:name="основные-типы-ресурсных-записей-dns"/>
    <w:p>
      <w:pPr>
        <w:pStyle w:val="Heading2"/>
      </w:pPr>
      <w:r>
        <w:t xml:space="preserve">4.6 Основные типы ресурсных записей DNS</w:t>
      </w:r>
    </w:p>
    <w:p>
      <w:pPr>
        <w:pStyle w:val="FirstParagraph"/>
      </w:pPr>
      <w:r>
        <w:t xml:space="preserve">Запись A связывает имя с IPv4-адресом, AAAA — с IPv6-адресом, PTR — адрес с именем, NS определяет сервер зоны, SOA содержит основные параметры зоны, CNAME задаёт псевдоним, MX определяет почтовый сервер, TXT хранит текстовые данные, а SRV описывает расположение службы.</w:t>
      </w:r>
    </w:p>
    <w:bookmarkEnd w:id="175"/>
    <w:bookmarkStart w:id="176" w:name="для-чего-используется-домен-in-addr.arpa"/>
    <w:p>
      <w:pPr>
        <w:pStyle w:val="Heading2"/>
      </w:pPr>
      <w:r>
        <w:t xml:space="preserve">4.7 Для чего используется домен in-addr.arpa</w:t>
      </w:r>
    </w:p>
    <w:p>
      <w:pPr>
        <w:pStyle w:val="FirstParagraph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 </w:t>
      </w:r>
      <w:r>
        <w:t xml:space="preserve">используется для обратного разрешения IPv4-адресов в доменные имена посредством PTR-записей.</w:t>
      </w:r>
    </w:p>
    <w:bookmarkEnd w:id="176"/>
    <w:bookmarkStart w:id="177" w:name="что-представляет-собой-named"/>
    <w:p>
      <w:pPr>
        <w:pStyle w:val="Heading2"/>
      </w:pPr>
      <w:r>
        <w:t xml:space="preserve">4.8 Что представляет собой named</w:t>
      </w:r>
    </w:p>
    <w:p>
      <w:pPr>
        <w:pStyle w:val="FirstParagraph"/>
      </w:pPr>
      <w:r>
        <w:rPr>
          <w:rStyle w:val="VerbatimChar"/>
        </w:rPr>
        <w:t xml:space="preserve">named</w:t>
      </w:r>
      <w:r>
        <w:t xml:space="preserve"> </w:t>
      </w:r>
      <w:r>
        <w:t xml:space="preserve">— основной процесс DNS-сервера BIND. Он обслуживает зоны, принимает DNS-запросы, выполняет рекурсивное разрешение и кэширует ответы в соответствии с конфигурацией.</w:t>
      </w:r>
    </w:p>
    <w:bookmarkEnd w:id="177"/>
    <w:bookmarkStart w:id="178" w:name="чем-отличаются-master--и-slave-серверы"/>
    <w:p>
      <w:pPr>
        <w:pStyle w:val="Heading2"/>
      </w:pPr>
      <w:r>
        <w:t xml:space="preserve">4.9 Чем отличаются master- и slave-серверы</w:t>
      </w:r>
    </w:p>
    <w:p>
      <w:pPr>
        <w:pStyle w:val="FirstParagraph"/>
      </w:pPr>
      <w:r>
        <w:t xml:space="preserve">Master-сервер хранит редактируемую исходную копию зоны. Slave-сервер получает её копию с master-сервера посредством передачи зоны и обеспечивает резервирование.</w:t>
      </w:r>
    </w:p>
    <w:bookmarkEnd w:id="178"/>
    <w:bookmarkStart w:id="179" w:name="основные-параметры-записи-soa"/>
    <w:p>
      <w:pPr>
        <w:pStyle w:val="Heading2"/>
      </w:pPr>
      <w:r>
        <w:t xml:space="preserve">4.10 Основные параметры записи SOA</w:t>
      </w:r>
    </w:p>
    <w:p>
      <w:pPr>
        <w:pStyle w:val="FirstParagraph"/>
      </w:pPr>
      <w:r>
        <w:rPr>
          <w:rStyle w:val="VerbatimChar"/>
        </w:rPr>
        <w:t xml:space="preserve">serial</w:t>
      </w:r>
      <w:r>
        <w:t xml:space="preserve"> </w:t>
      </w:r>
      <w:r>
        <w:t xml:space="preserve">задаёт версию зоны,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— период проверки обновлений,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— интервал повторной попытки,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— срок допустимого использования зоны без связи с master-сервером,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 </w:t>
      </w:r>
      <w:r>
        <w:t xml:space="preserve">— время отрицательного кэширования.</w:t>
      </w:r>
    </w:p>
    <w:bookmarkEnd w:id="179"/>
    <w:bookmarkStart w:id="180" w:name="как-ограничивают-передачу-зоны"/>
    <w:p>
      <w:pPr>
        <w:pStyle w:val="Heading2"/>
      </w:pPr>
      <w:r>
        <w:t xml:space="preserve">4.11 Как ограничивают передачу зоны</w:t>
      </w:r>
    </w:p>
    <w:p>
      <w:pPr>
        <w:pStyle w:val="FirstParagraph"/>
      </w:pPr>
      <w:r>
        <w:t xml:space="preserve">Передача ограничивается директивой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, в которой перечисляют разрешённые серверы. Дополнительно применяются TSIG-ключи и ограничения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allow-recursion</w:t>
      </w:r>
      <w:r>
        <w:t xml:space="preserve">.</w:t>
      </w:r>
    </w:p>
    <w:bookmarkEnd w:id="180"/>
    <w:bookmarkStart w:id="181" w:name="X1e6cf57924e61970bdcf4ed7c58f60633cf2681"/>
    <w:p>
      <w:pPr>
        <w:pStyle w:val="Heading2"/>
      </w:pPr>
      <w:r>
        <w:t xml:space="preserve">4.12 Какая запись используется для почтового сервера</w:t>
      </w:r>
    </w:p>
    <w:p>
      <w:pPr>
        <w:pStyle w:val="FirstParagraph"/>
      </w:pPr>
      <w:r>
        <w:t xml:space="preserve">Для назначения почтовых серверов домена используется запись MX. Она содержит приоритет и имя почтового узла.</w:t>
      </w:r>
    </w:p>
    <w:bookmarkEnd w:id="181"/>
    <w:bookmarkStart w:id="182" w:name="как-проверить-dns-зону"/>
    <w:p>
      <w:pPr>
        <w:pStyle w:val="Heading2"/>
      </w:pPr>
      <w:r>
        <w:t xml:space="preserve">4.13 Как проверить DNS-зону</w:t>
      </w:r>
    </w:p>
    <w:p>
      <w:pPr>
        <w:pStyle w:val="FirstParagraph"/>
      </w:pPr>
      <w:r>
        <w:t xml:space="preserve">Для проверки применяются</w:t>
      </w:r>
      <w:r>
        <w:t xml:space="preserve"> 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named-checkzone</w:t>
      </w:r>
      <w:r>
        <w:t xml:space="preserve">.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 </w:t>
      </w:r>
      <w:r>
        <w:t xml:space="preserve">проверяет общую конфигурацию, а</w:t>
      </w:r>
      <w:r>
        <w:t xml:space="preserve"> </w:t>
      </w:r>
      <w:r>
        <w:rPr>
          <w:rStyle w:val="VerbatimChar"/>
        </w:rPr>
        <w:t xml:space="preserve">named-checkzone</w:t>
      </w:r>
      <w:r>
        <w:t xml:space="preserve"> </w:t>
      </w:r>
      <w:r>
        <w:t xml:space="preserve">— синтаксис и содержимое конкретной зоны.</w:t>
      </w:r>
    </w:p>
    <w:bookmarkEnd w:id="182"/>
    <w:bookmarkStart w:id="183" w:name="X9f0c3eea71d7efc63b14c638d6ebe3c05f78b8a"/>
    <w:p>
      <w:pPr>
        <w:pStyle w:val="Heading2"/>
      </w:pPr>
      <w:r>
        <w:t xml:space="preserve">4.14 Как управлять службой named и просматривать журнал</w:t>
      </w:r>
    </w:p>
    <w:p>
      <w:pPr>
        <w:pStyle w:val="FirstParagraph"/>
      </w:pPr>
      <w:r>
        <w:t xml:space="preserve">Службой управляют командами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status named</w:t>
      </w:r>
      <w:r>
        <w:t xml:space="preserve">. Диагностика выполняется командами</w:t>
      </w:r>
      <w:r>
        <w:t xml:space="preserve"> </w:t>
      </w:r>
      <w:r>
        <w:rPr>
          <w:rStyle w:val="VerbatimChar"/>
        </w:rPr>
        <w:t xml:space="preserve">journalctl -xeu 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.</w:t>
      </w:r>
    </w:p>
    <w:bookmarkEnd w:id="183"/>
    <w:bookmarkStart w:id="184" w:name="как-определить-файлы-открытые-процессом"/>
    <w:p>
      <w:pPr>
        <w:pStyle w:val="Heading2"/>
      </w:pPr>
      <w:r>
        <w:t xml:space="preserve">4.15 Как определить файлы, открытые процессом</w:t>
      </w:r>
    </w:p>
    <w:p>
      <w:pPr>
        <w:pStyle w:val="FirstParagraph"/>
      </w:pP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lsof -p PID</w:t>
      </w:r>
      <w:r>
        <w:t xml:space="preserve">,</w:t>
      </w:r>
      <w:r>
        <w:t xml:space="preserve"> </w:t>
      </w:r>
      <w:r>
        <w:rPr>
          <w:rStyle w:val="VerbatimChar"/>
        </w:rPr>
        <w:t xml:space="preserve">lsof -c named</w:t>
      </w:r>
      <w:r>
        <w:t xml:space="preserve"> </w:t>
      </w:r>
      <w:r>
        <w:t xml:space="preserve">и просмотр каталога</w:t>
      </w:r>
      <w:r>
        <w:t xml:space="preserve"> </w:t>
      </w:r>
      <w:r>
        <w:rPr>
          <w:rStyle w:val="VerbatimChar"/>
        </w:rPr>
        <w:t xml:space="preserve">/proc/PID/fd</w:t>
      </w:r>
      <w:r>
        <w:t xml:space="preserve">.</w:t>
      </w:r>
    </w:p>
    <w:bookmarkEnd w:id="184"/>
    <w:bookmarkStart w:id="185" w:name="как-изменить-dns-сервер-средствами-nmcli"/>
    <w:p>
      <w:pPr>
        <w:pStyle w:val="Heading2"/>
      </w:pPr>
      <w:r>
        <w:t xml:space="preserve">4.16 Как изменить DNS-сервер средствами nmcli</w:t>
      </w:r>
    </w:p>
    <w:p>
      <w:pPr>
        <w:pStyle w:val="FirstParagraph"/>
      </w:pPr>
      <w:r>
        <w:t xml:space="preserve">В профиле подключения включают</w:t>
      </w:r>
      <w:r>
        <w:t xml:space="preserve"> </w:t>
      </w:r>
      <w:r>
        <w:rPr>
          <w:rStyle w:val="VerbatimChar"/>
        </w:rPr>
        <w:t xml:space="preserve">ipv4.ignore-auto-dns yes</w:t>
      </w:r>
      <w:r>
        <w:t xml:space="preserve">, задают</w:t>
      </w:r>
      <w:r>
        <w:t xml:space="preserve"> </w:t>
      </w:r>
      <w:r>
        <w:rPr>
          <w:rStyle w:val="VerbatimChar"/>
        </w:rPr>
        <w:t xml:space="preserve">ipv4.dns 127.0.0.1</w:t>
      </w:r>
      <w:r>
        <w:t xml:space="preserve">, сохраняют профиль и повторно активируют соединение.</w:t>
      </w:r>
    </w:p>
    <w:bookmarkEnd w:id="185"/>
    <w:bookmarkStart w:id="186" w:name="что-такое-selinux-и-его-контекст"/>
    <w:p>
      <w:pPr>
        <w:pStyle w:val="Heading2"/>
      </w:pPr>
      <w:r>
        <w:t xml:space="preserve">4.17 Что такое SELinux и его контекст</w:t>
      </w:r>
    </w:p>
    <w:p>
      <w:pPr>
        <w:pStyle w:val="FirstParagraph"/>
      </w:pPr>
      <w:r>
        <w:t xml:space="preserve">SELinux реализует обязательный контроль доступа. Контекст SELinux содержит пользователя, роль, тип и уровень; именно тип объекта используется политиками для разрешения доступа системным службам.</w:t>
      </w:r>
    </w:p>
    <w:bookmarkEnd w:id="186"/>
    <w:bookmarkStart w:id="187" w:name="X6bf293878448cfee2317aa1f480fca749cb97fd"/>
    <w:p>
      <w:pPr>
        <w:pStyle w:val="Heading2"/>
      </w:pPr>
      <w:r>
        <w:t xml:space="preserve">4.18 Как восстановить контекст и изменить логический параметр SELinux</w:t>
      </w:r>
    </w:p>
    <w:p>
      <w:pPr>
        <w:pStyle w:val="FirstParagraph"/>
      </w:pPr>
      <w:r>
        <w:t xml:space="preserve">Контексты восстанавливаются командой</w:t>
      </w:r>
      <w:r>
        <w:t xml:space="preserve"> </w:t>
      </w:r>
      <w:r>
        <w:rPr>
          <w:rStyle w:val="VerbatimChar"/>
        </w:rPr>
        <w:t xml:space="preserve">restorecon -vR</w:t>
      </w:r>
      <w:r>
        <w:t xml:space="preserve">. Логические параметры просматриваются через</w:t>
      </w:r>
      <w:r>
        <w:t xml:space="preserve"> </w:t>
      </w:r>
      <w:r>
        <w:rPr>
          <w:rStyle w:val="VerbatimChar"/>
        </w:rPr>
        <w:t xml:space="preserve">getsebool</w:t>
      </w:r>
      <w:r>
        <w:t xml:space="preserve">, а постоянное изменение выполняется командой</w:t>
      </w:r>
      <w:r>
        <w:t xml:space="preserve"> </w:t>
      </w:r>
      <w:r>
        <w:rPr>
          <w:rStyle w:val="VerbatimChar"/>
        </w:rPr>
        <w:t xml:space="preserve">setsebool -P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setsebool -P named_write_master_zones on</w:t>
      </w:r>
      <w:r>
        <w:t xml:space="preserve">.</w:t>
      </w:r>
    </w:p>
    <w:bookmarkEnd w:id="187"/>
    <w:bookmarkEnd w:id="188"/>
    <w:bookmarkStart w:id="18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получены практические навыки установки и настройки DNS-сервера BIND. Были созданы прямая зона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 </w:t>
      </w:r>
      <w:r>
        <w:t xml:space="preserve">и обратная зона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настроены NetworkManager, firewalld и SELinux, а корректность разрешения имён подтверждена командами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Подготовленный сценарий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и его подключение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позволили автоматизировать воспроизводимую настройку DNS-сервера.</w:t>
      </w:r>
    </w:p>
    <w:bookmarkEnd w:id="189"/>
    <w:bookmarkStart w:id="191" w:name="список-литературы"/>
    <w:p>
      <w:pPr>
        <w:pStyle w:val="Heading1"/>
      </w:pPr>
      <w:r>
        <w:t xml:space="preserve">Список литературы</w:t>
      </w:r>
    </w:p>
    <w:bookmarkStart w:id="190" w:name="refs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5" Target="media/rId1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9" Target="media/rId19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Павличенко Родион Андреевич</dc:creator>
  <dc:language>ru-RU</dc:language>
  <cp:keywords/>
  <dcterms:created xsi:type="dcterms:W3CDTF">2026-09-17T07:09:42Z</dcterms:created>
  <dcterms:modified xsi:type="dcterms:W3CDTF">2026-09-17T07:09:42Z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DNS-сервера</vt:lpwstr>
  </property>
  <property fmtid="{D5CDD505-2E9C-101B-9397-08002B2CF9AE}" pid="16" name="toc-title">
    <vt:lpwstr>Содержание</vt:lpwstr>
  </property>
</Properties>
</file>