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0B287F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0B287F">
        <w:rPr>
          <w:rFonts w:eastAsia="Calibri"/>
          <w:b/>
          <w:color w:val="000000"/>
          <w:lang w:eastAsia="en-US"/>
        </w:rPr>
        <w:t>1</w:t>
      </w:r>
      <w:r w:rsidR="00555E28">
        <w:rPr>
          <w:rFonts w:eastAsia="Calibri"/>
          <w:b/>
          <w:color w:val="000000"/>
          <w:lang w:eastAsia="en-US"/>
        </w:rPr>
        <w:t>6</w:t>
      </w:r>
      <w:bookmarkStart w:id="0" w:name="_GoBack"/>
      <w:bookmarkEnd w:id="0"/>
    </w:p>
    <w:p w:rsidR="00447662" w:rsidRPr="000B287F" w:rsidRDefault="004E27C9" w:rsidP="00024E61">
      <w:pPr>
        <w:tabs>
          <w:tab w:val="left" w:pos="7371"/>
        </w:tabs>
        <w:spacing w:after="2040" w:line="276" w:lineRule="auto"/>
        <w:jc w:val="center"/>
      </w:pPr>
      <w:r>
        <w:t>СОГЛАСОВАНИЕ КРИПТОГРАФИЧЕСКИХ КЛЮЧЕЙ НА ОСНОВЕ ТЕХНОЛОГИЙ ИСКУССТВЕННЫХ НЕЙРОННЫХ СЕТЕЙ</w:t>
      </w:r>
    </w:p>
    <w:p w:rsidR="00030263" w:rsidRDefault="00030263" w:rsidP="00030263">
      <w:pPr>
        <w:spacing w:after="0"/>
        <w:jc w:val="right"/>
        <w:rPr>
          <w:b/>
          <w:sz w:val="36"/>
        </w:rPr>
      </w:pPr>
    </w:p>
    <w:p w:rsidR="00030263" w:rsidRDefault="00030263" w:rsidP="00030263">
      <w:pPr>
        <w:spacing w:after="0"/>
        <w:jc w:val="right"/>
        <w:rPr>
          <w:b/>
          <w:sz w:val="36"/>
        </w:rPr>
      </w:pPr>
    </w:p>
    <w:p w:rsidR="00030263" w:rsidRPr="00F11668" w:rsidRDefault="00030263" w:rsidP="00030263">
      <w:pPr>
        <w:spacing w:after="0"/>
        <w:jc w:val="right"/>
        <w:rPr>
          <w:b/>
          <w:sz w:val="36"/>
        </w:rPr>
      </w:pPr>
    </w:p>
    <w:p w:rsidR="00030263" w:rsidRPr="00F11668" w:rsidRDefault="00030263" w:rsidP="00030263">
      <w:pPr>
        <w:spacing w:after="0"/>
        <w:ind w:left="-426" w:firstLine="5387"/>
      </w:pPr>
      <w:r w:rsidRPr="00F11668">
        <w:t>Студент: Вайсера Р.Л.</w:t>
      </w:r>
    </w:p>
    <w:p w:rsidR="00030263" w:rsidRPr="00F11668" w:rsidRDefault="00030263" w:rsidP="00030263">
      <w:pPr>
        <w:spacing w:after="0"/>
        <w:ind w:left="-426" w:firstLine="5387"/>
      </w:pPr>
      <w:r w:rsidRPr="00F11668">
        <w:t>ФИТ 3 курс 4 группа</w:t>
      </w:r>
    </w:p>
    <w:p w:rsidR="00030263" w:rsidRPr="00F11668" w:rsidRDefault="00030263" w:rsidP="00030263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024E61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024E61" w:rsidRDefault="00024E61">
      <w:pPr>
        <w:spacing w:before="0" w:after="160" w:line="259" w:lineRule="auto"/>
        <w:ind w:firstLine="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br w:type="page"/>
      </w:r>
    </w:p>
    <w:p w:rsidR="00B80203" w:rsidRPr="008B4AB3" w:rsidRDefault="00B80203" w:rsidP="004E27C9">
      <w:pPr>
        <w:spacing w:line="276" w:lineRule="auto"/>
        <w:ind w:firstLine="0"/>
        <w:jc w:val="both"/>
        <w:rPr>
          <w:rFonts w:eastAsia="Calibri"/>
          <w:color w:val="000000"/>
          <w:lang w:eastAsia="en-US"/>
        </w:rPr>
      </w:pP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 w:rsidRPr="004E27C9">
        <w:rPr>
          <w:b/>
        </w:rPr>
        <w:t>Цель</w:t>
      </w:r>
      <w:r>
        <w:t xml:space="preserve">: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 w:rsidRPr="004E27C9">
        <w:rPr>
          <w:b/>
        </w:rPr>
        <w:t>Задачи</w:t>
      </w:r>
      <w:r>
        <w:t xml:space="preserve">: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по основам построения и функционирования ИНС.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>
        <w:t xml:space="preserve">2. Усвоить особенности построения, основные алгоритмы взаимного обучения двух связанных нейронных сетей на основе модели ТРМ.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>
        <w:t xml:space="preserve">3. Разработать приложение для реализации модели ТРМ с целью согласования двумя сторонами совместного тайного ключа.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</w:pPr>
      <w:r>
        <w:t xml:space="preserve">4. Познакомиться с методиками оценки </w:t>
      </w:r>
      <w:proofErr w:type="spellStart"/>
      <w:r>
        <w:t>криптостойкости</w:t>
      </w:r>
      <w:proofErr w:type="spellEnd"/>
      <w:r>
        <w:t xml:space="preserve"> алгоритма на основе ТРМ. </w:t>
      </w:r>
    </w:p>
    <w:p w:rsidR="004E27C9" w:rsidRDefault="004E27C9" w:rsidP="004E27C9">
      <w:pPr>
        <w:tabs>
          <w:tab w:val="center" w:pos="4677"/>
          <w:tab w:val="left" w:pos="6468"/>
        </w:tabs>
        <w:jc w:val="both"/>
        <w:rPr>
          <w:b/>
        </w:rPr>
      </w:pPr>
      <w: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Pr="008B4AB3">
        <w:rPr>
          <w:b/>
        </w:rPr>
        <w:t xml:space="preserve"> </w:t>
      </w:r>
    </w:p>
    <w:p w:rsidR="00024E61" w:rsidRPr="00024E61" w:rsidRDefault="005B1558" w:rsidP="004E27C9">
      <w:pPr>
        <w:tabs>
          <w:tab w:val="center" w:pos="4677"/>
          <w:tab w:val="left" w:pos="6468"/>
        </w:tabs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8163FF" w:rsidRDefault="001537C7" w:rsidP="00204C54">
      <w:pPr>
        <w:tabs>
          <w:tab w:val="center" w:pos="4677"/>
          <w:tab w:val="left" w:pos="6468"/>
        </w:tabs>
        <w:jc w:val="both"/>
      </w:pPr>
      <w:r>
        <w:t xml:space="preserve"> </w:t>
      </w:r>
      <w:r w:rsidR="008163FF">
        <w:t xml:space="preserve">Было разработано приложение, реализующее модель </w:t>
      </w:r>
      <w:r w:rsidR="008163FF">
        <w:rPr>
          <w:lang w:val="en-US"/>
        </w:rPr>
        <w:t>TCP</w:t>
      </w:r>
      <w:r w:rsidR="008163FF">
        <w:t xml:space="preserve">. Вывод одной реализации алгоритма </w:t>
      </w:r>
      <w:r w:rsidR="00B56474">
        <w:t xml:space="preserve">для </w:t>
      </w:r>
      <w:r w:rsidR="008163FF">
        <w:t>двух сетей представлен на рисунке 1.</w:t>
      </w:r>
    </w:p>
    <w:p w:rsidR="008163FF" w:rsidRDefault="008163FF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 w:rsidRPr="008163FF">
        <w:rPr>
          <w:noProof/>
          <w:lang w:val="en-US" w:eastAsia="en-US"/>
        </w:rPr>
        <w:drawing>
          <wp:inline distT="0" distB="0" distL="0" distR="0" wp14:anchorId="0925AC26" wp14:editId="00C41CC5">
            <wp:extent cx="3299460" cy="3946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34" cy="39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FF" w:rsidRDefault="008163FF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1 – вывод одной реализации алгоритма</w:t>
      </w:r>
    </w:p>
    <w:p w:rsidR="001537C7" w:rsidRDefault="00307CCA" w:rsidP="00204C54">
      <w:pPr>
        <w:tabs>
          <w:tab w:val="center" w:pos="4677"/>
          <w:tab w:val="left" w:pos="6468"/>
        </w:tabs>
        <w:jc w:val="both"/>
      </w:pPr>
      <w:r>
        <w:t xml:space="preserve">Каждая модель </w:t>
      </w:r>
      <w:proofErr w:type="spellStart"/>
      <w:r>
        <w:t>нейросети</w:t>
      </w:r>
      <w:proofErr w:type="spellEnd"/>
      <w:r>
        <w:t xml:space="preserve"> состоит из 4 персептронов с 10 входами.</w:t>
      </w:r>
    </w:p>
    <w:p w:rsidR="00307CCA" w:rsidRDefault="00307CCA" w:rsidP="00204C54">
      <w:pPr>
        <w:tabs>
          <w:tab w:val="center" w:pos="4677"/>
          <w:tab w:val="left" w:pos="6468"/>
        </w:tabs>
        <w:jc w:val="both"/>
      </w:pPr>
      <w:r>
        <w:lastRenderedPageBreak/>
        <w:t xml:space="preserve">Было проведено 500 экспериментов синхронизаций и в каждом посчитано количество шагов, после которых </w:t>
      </w:r>
      <w:r w:rsidR="008071CB">
        <w:t>наступает синхронизация.</w:t>
      </w:r>
      <w:r w:rsidR="00567E40">
        <w:t xml:space="preserve"> Гистограмма подсчета количества шагов, после которых наступает синхронизация для каждого эксперимента представлена на рисунке 2.</w:t>
      </w:r>
    </w:p>
    <w:p w:rsid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 w:rsidRPr="00567E40">
        <w:rPr>
          <w:noProof/>
          <w:lang w:val="en-US" w:eastAsia="en-US"/>
        </w:rPr>
        <w:drawing>
          <wp:inline distT="0" distB="0" distL="0" distR="0" wp14:anchorId="19AE1F89" wp14:editId="0DCF4B42">
            <wp:extent cx="5006340" cy="26907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47" cy="26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40" w:rsidRP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2 – гистограмма подсчета количества шагов, после которых наступает синхронизация</w:t>
      </w:r>
    </w:p>
    <w:p w:rsidR="00307CCA" w:rsidRDefault="00567E40" w:rsidP="00204C54">
      <w:pPr>
        <w:tabs>
          <w:tab w:val="center" w:pos="4677"/>
          <w:tab w:val="left" w:pos="6468"/>
        </w:tabs>
        <w:jc w:val="both"/>
      </w:pPr>
      <w:r>
        <w:t>Так же было построено распределение число синхронизаций – число шагов в виде графика, которое представлено на рисунке 3.</w:t>
      </w:r>
    </w:p>
    <w:p w:rsid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 w:rsidRPr="00567E40">
        <w:rPr>
          <w:noProof/>
          <w:lang w:val="en-US" w:eastAsia="en-US"/>
        </w:rPr>
        <w:drawing>
          <wp:inline distT="0" distB="0" distL="0" distR="0" wp14:anchorId="628C6678" wp14:editId="66918548">
            <wp:extent cx="4198620" cy="3581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714" cy="35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>Рис. 3 – распределение число синхронизаций – число шагов.</w:t>
      </w:r>
    </w:p>
    <w:p w:rsidR="00567E40" w:rsidRDefault="00567E40" w:rsidP="00BA409F">
      <w:pPr>
        <w:tabs>
          <w:tab w:val="center" w:pos="4677"/>
          <w:tab w:val="left" w:pos="6468"/>
        </w:tabs>
        <w:jc w:val="both"/>
      </w:pPr>
      <w:r>
        <w:lastRenderedPageBreak/>
        <w:t xml:space="preserve">В каждом из опытов выполнен контроль промежутка времени наступления синхронизации после запуска эмулятора и подсчитано среднее время процесса синхронизации, которое равно 1.27 секунд. График зависимости прошедшего времени от числа синхронизаций </w:t>
      </w:r>
      <w:r w:rsidR="00BA409F">
        <w:t>представлен на рисунке 4.</w:t>
      </w:r>
    </w:p>
    <w:p w:rsid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 w:rsidRPr="00567E40">
        <w:rPr>
          <w:noProof/>
          <w:lang w:val="en-US" w:eastAsia="en-US"/>
        </w:rPr>
        <w:drawing>
          <wp:inline distT="0" distB="0" distL="0" distR="0" wp14:anchorId="24A1DC52" wp14:editId="5237A10B">
            <wp:extent cx="4503420" cy="382321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867" cy="38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40" w:rsidRPr="00567E40" w:rsidRDefault="00567E40" w:rsidP="00567E4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4 </w:t>
      </w:r>
      <w:r>
        <w:softHyphen/>
      </w:r>
      <w:r>
        <w:softHyphen/>
      </w:r>
      <w:r>
        <w:softHyphen/>
        <w:t>–</w:t>
      </w:r>
      <w:r w:rsidRPr="00567E40">
        <w:t xml:space="preserve"> </w:t>
      </w:r>
      <w:r>
        <w:t>График зависимости прошедшего времени от числа синхронизаций</w:t>
      </w:r>
    </w:p>
    <w:p w:rsidR="002378CE" w:rsidRDefault="002378CE" w:rsidP="00204C54">
      <w:pPr>
        <w:tabs>
          <w:tab w:val="center" w:pos="4677"/>
          <w:tab w:val="left" w:pos="6468"/>
        </w:tabs>
        <w:jc w:val="both"/>
      </w:pPr>
      <w:r>
        <w:t xml:space="preserve">Алгоритм </w:t>
      </w:r>
      <w:proofErr w:type="spellStart"/>
      <w:r>
        <w:t>Хебба</w:t>
      </w:r>
      <w:proofErr w:type="spellEnd"/>
      <w:r>
        <w:t>:</w:t>
      </w:r>
    </w:p>
    <w:p w:rsidR="002378CE" w:rsidRDefault="002378CE" w:rsidP="00204C54">
      <w:pPr>
        <w:tabs>
          <w:tab w:val="center" w:pos="4677"/>
          <w:tab w:val="left" w:pos="6468"/>
        </w:tabs>
        <w:jc w:val="both"/>
      </w:pPr>
      <w:r>
        <w:t>(</w:t>
      </w:r>
      <w:proofErr w:type="spellStart"/>
      <w:r w:rsidRPr="002378CE">
        <w:rPr>
          <w:i/>
        </w:rPr>
        <w:t>w</w:t>
      </w:r>
      <w:r w:rsidRPr="002378CE">
        <w:rPr>
          <w:i/>
          <w:vertAlign w:val="subscript"/>
        </w:rPr>
        <w:t>i</w:t>
      </w:r>
      <w:proofErr w:type="spellEnd"/>
      <w:r>
        <w:t>)</w:t>
      </w:r>
      <w:proofErr w:type="gramStart"/>
      <w:r w:rsidRPr="002378CE">
        <w:rPr>
          <w:i/>
          <w:vertAlign w:val="superscript"/>
        </w:rPr>
        <w:t>A</w:t>
      </w:r>
      <w:r>
        <w:t>(</w:t>
      </w:r>
      <w:proofErr w:type="gramEnd"/>
      <w:r w:rsidRPr="002378CE">
        <w:rPr>
          <w:i/>
        </w:rPr>
        <w:t>t</w:t>
      </w:r>
      <w:r>
        <w:t xml:space="preserve"> + 1) = (</w:t>
      </w:r>
      <w:proofErr w:type="spellStart"/>
      <w:r w:rsidRPr="002378CE">
        <w:rPr>
          <w:i/>
        </w:rPr>
        <w:t>w</w:t>
      </w:r>
      <w:r w:rsidRPr="002378CE">
        <w:rPr>
          <w:i/>
          <w:vertAlign w:val="subscript"/>
        </w:rPr>
        <w:t>i</w:t>
      </w:r>
      <w:proofErr w:type="spellEnd"/>
      <w:r>
        <w:t>)</w:t>
      </w:r>
      <w:r w:rsidRPr="002378CE">
        <w:rPr>
          <w:i/>
          <w:vertAlign w:val="superscript"/>
        </w:rPr>
        <w:t>A</w:t>
      </w:r>
      <w:r>
        <w:t>(</w:t>
      </w:r>
      <w:r w:rsidRPr="002378CE">
        <w:rPr>
          <w:i/>
        </w:rPr>
        <w:t>t</w:t>
      </w:r>
      <w:r>
        <w:t>) + (</w:t>
      </w:r>
      <w:proofErr w:type="spellStart"/>
      <w:r w:rsidRPr="002378CE">
        <w:rPr>
          <w:i/>
        </w:rPr>
        <w:t>у</w:t>
      </w:r>
      <w:r w:rsidRPr="002378CE">
        <w:rPr>
          <w:i/>
          <w:vertAlign w:val="subscript"/>
        </w:rPr>
        <w:t>i</w:t>
      </w:r>
      <w:r w:rsidRPr="00165691">
        <w:rPr>
          <w:color w:val="000000"/>
          <w:sz w:val="29"/>
          <w:szCs w:val="29"/>
        </w:rPr>
        <w:t>×</w:t>
      </w:r>
      <w:r w:rsidRPr="002378CE">
        <w:rPr>
          <w:i/>
        </w:rPr>
        <w:t>x</w:t>
      </w:r>
      <w:r w:rsidRPr="002378CE">
        <w:rPr>
          <w:i/>
          <w:vertAlign w:val="subscript"/>
        </w:rPr>
        <w:t>i</w:t>
      </w:r>
      <w:proofErr w:type="spellEnd"/>
      <w:r>
        <w:t>)</w:t>
      </w:r>
      <w:r w:rsidRPr="002378CE">
        <w:rPr>
          <w:i/>
          <w:vertAlign w:val="superscript"/>
        </w:rPr>
        <w:t>А</w:t>
      </w:r>
      <w:r w:rsidR="008B45EF" w:rsidRPr="00165691">
        <w:rPr>
          <w:color w:val="000000"/>
          <w:sz w:val="29"/>
          <w:szCs w:val="29"/>
        </w:rPr>
        <w:t>×</w:t>
      </w:r>
      <w:r>
        <w:t>Θ((</w:t>
      </w:r>
      <w:proofErr w:type="spellStart"/>
      <w:r w:rsidRPr="002378CE">
        <w:rPr>
          <w:i/>
        </w:rPr>
        <w:t>у</w:t>
      </w:r>
      <w:r w:rsidRPr="002378CE">
        <w:rPr>
          <w:i/>
          <w:vertAlign w:val="subscript"/>
        </w:rPr>
        <w:t>i</w:t>
      </w:r>
      <w:proofErr w:type="spellEnd"/>
      <w:r>
        <w:t>)</w:t>
      </w:r>
      <w:r w:rsidRPr="002378CE">
        <w:rPr>
          <w:i/>
          <w:vertAlign w:val="superscript"/>
        </w:rPr>
        <w:t>А</w:t>
      </w:r>
      <w:r w:rsidR="008B45EF" w:rsidRPr="00165691">
        <w:rPr>
          <w:color w:val="000000"/>
          <w:sz w:val="29"/>
          <w:szCs w:val="29"/>
        </w:rPr>
        <w:t>×</w:t>
      </w:r>
      <w:r>
        <w:t>(</w:t>
      </w:r>
      <w:r w:rsidRPr="002378CE">
        <w:rPr>
          <w:i/>
        </w:rPr>
        <w:t>О</w:t>
      </w:r>
      <w:r w:rsidRPr="002378CE">
        <w:rPr>
          <w:i/>
          <w:vertAlign w:val="superscript"/>
        </w:rPr>
        <w:t>B</w:t>
      </w:r>
      <w:r>
        <w:t>))</w:t>
      </w:r>
      <w:r w:rsidR="00BC3A6A" w:rsidRPr="00165691">
        <w:rPr>
          <w:color w:val="000000"/>
          <w:sz w:val="29"/>
          <w:szCs w:val="29"/>
        </w:rPr>
        <w:t>×</w:t>
      </w:r>
      <w:r>
        <w:t>Θ((–</w:t>
      </w:r>
      <w:r w:rsidRPr="002378CE">
        <w:rPr>
          <w:i/>
        </w:rPr>
        <w:t>О</w:t>
      </w:r>
      <w:r>
        <w:t>)</w:t>
      </w:r>
      <w:r w:rsidRPr="002378CE">
        <w:rPr>
          <w:i/>
          <w:vertAlign w:val="superscript"/>
        </w:rPr>
        <w:t>А</w:t>
      </w:r>
      <w:r w:rsidR="008B45EF" w:rsidRPr="00165691">
        <w:rPr>
          <w:color w:val="000000"/>
          <w:sz w:val="29"/>
          <w:szCs w:val="29"/>
        </w:rPr>
        <w:t>×</w:t>
      </w:r>
      <w:r>
        <w:t>(</w:t>
      </w:r>
      <w:r w:rsidRPr="002378CE">
        <w:rPr>
          <w:i/>
        </w:rPr>
        <w:t>О</w:t>
      </w:r>
      <w:r w:rsidRPr="002378CE">
        <w:rPr>
          <w:i/>
          <w:vertAlign w:val="superscript"/>
        </w:rPr>
        <w:t>B</w:t>
      </w:r>
      <w:r>
        <w:t>))</w:t>
      </w:r>
    </w:p>
    <w:p w:rsidR="008B45EF" w:rsidRPr="008B45EF" w:rsidRDefault="002378CE" w:rsidP="008B45EF">
      <w:pPr>
        <w:tabs>
          <w:tab w:val="center" w:pos="4677"/>
          <w:tab w:val="left" w:pos="6468"/>
        </w:tabs>
        <w:jc w:val="both"/>
      </w:pPr>
      <w:proofErr w:type="spellStart"/>
      <w:r w:rsidRPr="001F2E2F">
        <w:rPr>
          <w:i/>
          <w:lang w:val="en-US"/>
        </w:rPr>
        <w:t>w</w:t>
      </w:r>
      <w:r w:rsidRPr="001F2E2F">
        <w:rPr>
          <w:i/>
          <w:vertAlign w:val="subscript"/>
          <w:lang w:val="en-US"/>
        </w:rPr>
        <w:t>i</w:t>
      </w:r>
      <w:proofErr w:type="spellEnd"/>
      <w:r w:rsidRPr="002378CE">
        <w:t xml:space="preserve"> – </w:t>
      </w:r>
      <w:proofErr w:type="spellStart"/>
      <w:r w:rsidRPr="001F2E2F">
        <w:rPr>
          <w:i/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вес на шаге </w:t>
      </w:r>
      <w:r w:rsidRPr="001F2E2F">
        <w:rPr>
          <w:i/>
          <w:lang w:val="en-US"/>
        </w:rPr>
        <w:t>t</w:t>
      </w:r>
      <w:r w:rsidRPr="002378CE">
        <w:t xml:space="preserve">, </w:t>
      </w:r>
      <w:proofErr w:type="spellStart"/>
      <w:r w:rsidR="008B45EF" w:rsidRPr="002378CE">
        <w:rPr>
          <w:i/>
        </w:rPr>
        <w:t>у</w:t>
      </w:r>
      <w:r w:rsidR="008B45EF" w:rsidRPr="002378CE">
        <w:rPr>
          <w:i/>
          <w:vertAlign w:val="subscript"/>
        </w:rPr>
        <w:t>i</w:t>
      </w:r>
      <w:proofErr w:type="spellEnd"/>
      <w:r w:rsidR="008B45EF" w:rsidRPr="008B45EF">
        <w:rPr>
          <w:i/>
          <w:vertAlign w:val="subscript"/>
        </w:rPr>
        <w:t xml:space="preserve"> </w:t>
      </w:r>
      <w:r w:rsidR="008B45EF">
        <w:t>–</w:t>
      </w:r>
      <w:r w:rsidR="008B45EF" w:rsidRPr="008B45EF">
        <w:t xml:space="preserve"> </w:t>
      </w:r>
      <w:r w:rsidR="008B45EF">
        <w:t xml:space="preserve">значение выходного сигнала, </w:t>
      </w:r>
      <w:proofErr w:type="spellStart"/>
      <w:r w:rsidR="008B45EF" w:rsidRPr="002378CE">
        <w:rPr>
          <w:i/>
        </w:rPr>
        <w:t>x</w:t>
      </w:r>
      <w:r w:rsidR="008B45EF" w:rsidRPr="002378CE">
        <w:rPr>
          <w:i/>
          <w:vertAlign w:val="subscript"/>
        </w:rPr>
        <w:t>i</w:t>
      </w:r>
      <w:proofErr w:type="spellEnd"/>
      <w:r w:rsidR="008B45EF">
        <w:t xml:space="preserve"> – значение входного сигнала Θ(</w:t>
      </w:r>
      <w:r w:rsidR="008B45EF" w:rsidRPr="008B45EF">
        <w:rPr>
          <w:i/>
          <w:lang w:val="en-US"/>
        </w:rPr>
        <w:t>a</w:t>
      </w:r>
      <w:r w:rsidR="008B45EF" w:rsidRPr="008B45EF">
        <w:t xml:space="preserve">) </w:t>
      </w:r>
      <w:r w:rsidR="008B45EF">
        <w:t xml:space="preserve">принимает значение в зависимости от </w:t>
      </w:r>
      <w:r w:rsidR="008B45EF" w:rsidRPr="008B45EF">
        <w:rPr>
          <w:i/>
          <w:lang w:val="en-US"/>
        </w:rPr>
        <w:t>a</w:t>
      </w:r>
      <w:r w:rsidR="008B45EF">
        <w:t xml:space="preserve">, если </w:t>
      </w:r>
      <w:r w:rsidR="008B45EF">
        <w:rPr>
          <w:i/>
        </w:rPr>
        <w:t>а</w:t>
      </w:r>
      <w:r w:rsidR="008B45EF">
        <w:t xml:space="preserve"> </w:t>
      </w:r>
      <w:r w:rsidR="008B45EF" w:rsidRPr="008B45EF">
        <w:t xml:space="preserve">&gt;=0, </w:t>
      </w:r>
      <w:r w:rsidR="008B45EF">
        <w:t>то Θ(</w:t>
      </w:r>
      <w:r w:rsidR="008B45EF" w:rsidRPr="008B45EF">
        <w:rPr>
          <w:i/>
          <w:lang w:val="en-US"/>
        </w:rPr>
        <w:t>a</w:t>
      </w:r>
      <w:r w:rsidR="008B45EF" w:rsidRPr="008B45EF">
        <w:t>)</w:t>
      </w:r>
      <w:r w:rsidR="008B45EF">
        <w:t xml:space="preserve"> = 1, иначе Θ(</w:t>
      </w:r>
      <w:r w:rsidR="008B45EF" w:rsidRPr="008B45EF">
        <w:rPr>
          <w:i/>
          <w:lang w:val="en-US"/>
        </w:rPr>
        <w:t>a</w:t>
      </w:r>
      <w:r w:rsidR="008B45EF" w:rsidRPr="008B45EF">
        <w:t>)</w:t>
      </w:r>
      <w:r w:rsidR="008B45EF">
        <w:t xml:space="preserve"> = 0. </w:t>
      </w:r>
      <w:r w:rsidR="008B45EF" w:rsidRPr="002378CE">
        <w:rPr>
          <w:i/>
        </w:rPr>
        <w:t>О</w:t>
      </w:r>
      <w:r w:rsidR="008B45EF">
        <w:rPr>
          <w:i/>
          <w:vertAlign w:val="superscript"/>
          <w:lang w:val="en-US"/>
        </w:rPr>
        <w:t>A</w:t>
      </w:r>
      <w:r w:rsidR="008B45EF" w:rsidRPr="008B45EF">
        <w:rPr>
          <w:i/>
          <w:vertAlign w:val="superscript"/>
        </w:rPr>
        <w:t>/</w:t>
      </w:r>
      <w:r w:rsidR="008B45EF">
        <w:rPr>
          <w:i/>
          <w:vertAlign w:val="superscript"/>
          <w:lang w:val="en-US"/>
        </w:rPr>
        <w:t>B</w:t>
      </w:r>
      <w:r w:rsidR="008B45EF">
        <w:t xml:space="preserve"> – выходная </w:t>
      </w:r>
      <w:r w:rsidR="00705D7C">
        <w:t>величина</w:t>
      </w:r>
      <w:r w:rsidR="008B45EF">
        <w:t>.</w:t>
      </w:r>
    </w:p>
    <w:p w:rsidR="008B45EF" w:rsidRPr="008B45EF" w:rsidRDefault="008B45EF" w:rsidP="008B45EF">
      <w:pPr>
        <w:tabs>
          <w:tab w:val="center" w:pos="4677"/>
          <w:tab w:val="left" w:pos="6468"/>
        </w:tabs>
        <w:jc w:val="both"/>
        <w:rPr>
          <w:vertAlign w:val="superscript"/>
        </w:rPr>
      </w:pPr>
      <w:r w:rsidRPr="002378CE">
        <w:rPr>
          <w:i/>
        </w:rPr>
        <w:t>О</w:t>
      </w:r>
      <w:r>
        <w:rPr>
          <w:i/>
          <w:vertAlign w:val="superscript"/>
          <w:lang w:val="en-US"/>
        </w:rPr>
        <w:t>A</w:t>
      </w:r>
      <w:r w:rsidRPr="008B45EF">
        <w:rPr>
          <w:i/>
          <w:vertAlign w:val="superscript"/>
        </w:rPr>
        <w:t>/</w:t>
      </w:r>
      <w:r>
        <w:rPr>
          <w:i/>
          <w:vertAlign w:val="superscript"/>
          <w:lang w:val="en-US"/>
        </w:rPr>
        <w:t>B</w:t>
      </w:r>
      <w:r w:rsidRPr="008B45EF">
        <w:t xml:space="preserve"> = </w:t>
      </w:r>
      <w:r>
        <w:t xml:space="preserve">Произведение </w:t>
      </w:r>
      <w:r w:rsidRPr="008B45EF">
        <w:t>(</w:t>
      </w:r>
      <w:proofErr w:type="spellStart"/>
      <w:r w:rsidRPr="001F2E2F">
        <w:rPr>
          <w:i/>
          <w:lang w:val="en-US"/>
        </w:rPr>
        <w:t>y</w:t>
      </w:r>
      <w:r w:rsidRPr="008B45EF">
        <w:rPr>
          <w:vertAlign w:val="subscript"/>
          <w:lang w:val="en-US"/>
        </w:rPr>
        <w:t>k</w:t>
      </w:r>
      <w:proofErr w:type="spellEnd"/>
      <w:r w:rsidRPr="008B45EF">
        <w:t>)</w:t>
      </w:r>
      <w:r w:rsidRPr="008B45EF">
        <w:rPr>
          <w:vertAlign w:val="subscript"/>
        </w:rPr>
        <w:t xml:space="preserve"> </w:t>
      </w:r>
      <w:r w:rsidRPr="001F2E2F">
        <w:rPr>
          <w:i/>
          <w:vertAlign w:val="superscript"/>
          <w:lang w:val="en-US"/>
        </w:rPr>
        <w:t>A</w:t>
      </w:r>
      <w:r w:rsidRPr="001F2E2F">
        <w:rPr>
          <w:i/>
          <w:vertAlign w:val="superscript"/>
        </w:rPr>
        <w:t>/</w:t>
      </w:r>
      <w:r w:rsidRPr="001F2E2F">
        <w:rPr>
          <w:i/>
          <w:vertAlign w:val="superscript"/>
          <w:lang w:val="en-US"/>
        </w:rPr>
        <w:t>B</w:t>
      </w:r>
    </w:p>
    <w:p w:rsidR="004672B0" w:rsidRDefault="004672B0" w:rsidP="00BC3A6A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  <w:rPr>
          <w:b/>
        </w:rPr>
      </w:pPr>
      <w:r w:rsidRPr="004672B0">
        <w:rPr>
          <w:b/>
          <w:noProof/>
          <w:lang w:val="en-US" w:eastAsia="en-US"/>
        </w:rPr>
        <w:lastRenderedPageBreak/>
        <w:drawing>
          <wp:inline distT="0" distB="0" distL="0" distR="0" wp14:anchorId="00320FD8" wp14:editId="570D5A8A">
            <wp:extent cx="3956299" cy="25831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610" cy="25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B0" w:rsidRDefault="004672B0" w:rsidP="00BC3A6A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5 – схема двух уровней модели </w:t>
      </w:r>
      <w:r>
        <w:rPr>
          <w:lang w:val="en-US"/>
        </w:rPr>
        <w:t>TPM</w:t>
      </w:r>
    </w:p>
    <w:p w:rsidR="005B1558" w:rsidRPr="004121B1" w:rsidRDefault="005B1558" w:rsidP="00204C54">
      <w:pPr>
        <w:tabs>
          <w:tab w:val="center" w:pos="4677"/>
          <w:tab w:val="left" w:pos="6468"/>
        </w:tabs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>в ходе лабораторной</w:t>
      </w:r>
      <w:r w:rsidR="008163FF">
        <w:t xml:space="preserve"> работы были изучены основы посторенние ИНС и реализована модель из двух </w:t>
      </w:r>
      <w:proofErr w:type="spellStart"/>
      <w:r w:rsidR="008163FF">
        <w:t>нейросетей</w:t>
      </w:r>
      <w:proofErr w:type="spellEnd"/>
      <w:r w:rsidR="008163FF">
        <w:t xml:space="preserve">, выполняющих синхронизацию по алгоритму </w:t>
      </w:r>
      <w:proofErr w:type="spellStart"/>
      <w:r w:rsidR="008163FF">
        <w:t>Хебба</w:t>
      </w:r>
      <w:proofErr w:type="spellEnd"/>
      <w:r w:rsidR="00912711">
        <w:t>.</w:t>
      </w:r>
    </w:p>
    <w:p w:rsidR="00D976DE" w:rsidRPr="007806F9" w:rsidRDefault="00D976DE" w:rsidP="00DD283A">
      <w:pPr>
        <w:jc w:val="both"/>
      </w:pPr>
    </w:p>
    <w:p w:rsidR="005507B4" w:rsidRPr="006C447E" w:rsidRDefault="005507B4"/>
    <w:sectPr w:rsidR="005507B4" w:rsidRPr="006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4E61"/>
    <w:rsid w:val="00025880"/>
    <w:rsid w:val="00026562"/>
    <w:rsid w:val="00030263"/>
    <w:rsid w:val="00040337"/>
    <w:rsid w:val="00040417"/>
    <w:rsid w:val="000520E3"/>
    <w:rsid w:val="0006126B"/>
    <w:rsid w:val="000963D0"/>
    <w:rsid w:val="000A0D68"/>
    <w:rsid w:val="000B287F"/>
    <w:rsid w:val="000D51B3"/>
    <w:rsid w:val="001010D9"/>
    <w:rsid w:val="001115F8"/>
    <w:rsid w:val="0012798E"/>
    <w:rsid w:val="0013394A"/>
    <w:rsid w:val="00136591"/>
    <w:rsid w:val="00146A05"/>
    <w:rsid w:val="0015244D"/>
    <w:rsid w:val="001537C7"/>
    <w:rsid w:val="00160E03"/>
    <w:rsid w:val="00165691"/>
    <w:rsid w:val="00194C6E"/>
    <w:rsid w:val="001A090F"/>
    <w:rsid w:val="001B3A94"/>
    <w:rsid w:val="001D3E76"/>
    <w:rsid w:val="001E0D30"/>
    <w:rsid w:val="001E5060"/>
    <w:rsid w:val="001F0021"/>
    <w:rsid w:val="001F2E2F"/>
    <w:rsid w:val="00201A07"/>
    <w:rsid w:val="00204C54"/>
    <w:rsid w:val="00211D51"/>
    <w:rsid w:val="00215046"/>
    <w:rsid w:val="002262C9"/>
    <w:rsid w:val="002378CE"/>
    <w:rsid w:val="002607DE"/>
    <w:rsid w:val="002755D5"/>
    <w:rsid w:val="00282215"/>
    <w:rsid w:val="00307CCA"/>
    <w:rsid w:val="003609A0"/>
    <w:rsid w:val="00391526"/>
    <w:rsid w:val="003A13A5"/>
    <w:rsid w:val="003B7DD5"/>
    <w:rsid w:val="003E2543"/>
    <w:rsid w:val="003F78F5"/>
    <w:rsid w:val="0041020D"/>
    <w:rsid w:val="004121B1"/>
    <w:rsid w:val="004160EE"/>
    <w:rsid w:val="00433295"/>
    <w:rsid w:val="004340CD"/>
    <w:rsid w:val="00436B9A"/>
    <w:rsid w:val="004454A3"/>
    <w:rsid w:val="00447662"/>
    <w:rsid w:val="00462A2F"/>
    <w:rsid w:val="00462F17"/>
    <w:rsid w:val="004672B0"/>
    <w:rsid w:val="004914AA"/>
    <w:rsid w:val="004B2F67"/>
    <w:rsid w:val="004E27C9"/>
    <w:rsid w:val="005057BF"/>
    <w:rsid w:val="00521CB8"/>
    <w:rsid w:val="00537B3F"/>
    <w:rsid w:val="005468B1"/>
    <w:rsid w:val="005507B4"/>
    <w:rsid w:val="00555E28"/>
    <w:rsid w:val="00564A15"/>
    <w:rsid w:val="00567E40"/>
    <w:rsid w:val="00584F32"/>
    <w:rsid w:val="00586140"/>
    <w:rsid w:val="00591F94"/>
    <w:rsid w:val="005A6B1B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05D7C"/>
    <w:rsid w:val="007158F6"/>
    <w:rsid w:val="00717DBB"/>
    <w:rsid w:val="0072507C"/>
    <w:rsid w:val="0075762B"/>
    <w:rsid w:val="00766844"/>
    <w:rsid w:val="007806F9"/>
    <w:rsid w:val="0078445F"/>
    <w:rsid w:val="007853DD"/>
    <w:rsid w:val="00791849"/>
    <w:rsid w:val="00792F7D"/>
    <w:rsid w:val="007F4B41"/>
    <w:rsid w:val="008071CB"/>
    <w:rsid w:val="00813D46"/>
    <w:rsid w:val="00814A70"/>
    <w:rsid w:val="008163FF"/>
    <w:rsid w:val="00820431"/>
    <w:rsid w:val="0083638A"/>
    <w:rsid w:val="00872BBB"/>
    <w:rsid w:val="008B3225"/>
    <w:rsid w:val="008B45EF"/>
    <w:rsid w:val="008B4AB3"/>
    <w:rsid w:val="008E337C"/>
    <w:rsid w:val="008E4556"/>
    <w:rsid w:val="009041BE"/>
    <w:rsid w:val="009124FD"/>
    <w:rsid w:val="00912711"/>
    <w:rsid w:val="00915789"/>
    <w:rsid w:val="00932DB3"/>
    <w:rsid w:val="00936E81"/>
    <w:rsid w:val="0095794B"/>
    <w:rsid w:val="00977EC6"/>
    <w:rsid w:val="0098130D"/>
    <w:rsid w:val="00981424"/>
    <w:rsid w:val="009932B3"/>
    <w:rsid w:val="009A1FAA"/>
    <w:rsid w:val="009B347A"/>
    <w:rsid w:val="00A02B55"/>
    <w:rsid w:val="00A20AF7"/>
    <w:rsid w:val="00A551E3"/>
    <w:rsid w:val="00A873DB"/>
    <w:rsid w:val="00AA6991"/>
    <w:rsid w:val="00AB3DB4"/>
    <w:rsid w:val="00AC4C3D"/>
    <w:rsid w:val="00B07715"/>
    <w:rsid w:val="00B11AF5"/>
    <w:rsid w:val="00B12FA8"/>
    <w:rsid w:val="00B475A7"/>
    <w:rsid w:val="00B56474"/>
    <w:rsid w:val="00B73B48"/>
    <w:rsid w:val="00B80203"/>
    <w:rsid w:val="00B93B2D"/>
    <w:rsid w:val="00BA409F"/>
    <w:rsid w:val="00BB7CCA"/>
    <w:rsid w:val="00BC3A6A"/>
    <w:rsid w:val="00BE0004"/>
    <w:rsid w:val="00C027BC"/>
    <w:rsid w:val="00C05DE6"/>
    <w:rsid w:val="00C05F30"/>
    <w:rsid w:val="00C23DDC"/>
    <w:rsid w:val="00C3534E"/>
    <w:rsid w:val="00C55DA6"/>
    <w:rsid w:val="00C8608B"/>
    <w:rsid w:val="00C871A9"/>
    <w:rsid w:val="00C932A1"/>
    <w:rsid w:val="00CB69B6"/>
    <w:rsid w:val="00CC283E"/>
    <w:rsid w:val="00D41778"/>
    <w:rsid w:val="00D94C6D"/>
    <w:rsid w:val="00D976DE"/>
    <w:rsid w:val="00DA2E05"/>
    <w:rsid w:val="00DD283A"/>
    <w:rsid w:val="00DE066C"/>
    <w:rsid w:val="00E0366C"/>
    <w:rsid w:val="00E1354D"/>
    <w:rsid w:val="00E629D7"/>
    <w:rsid w:val="00E655B0"/>
    <w:rsid w:val="00EB41EF"/>
    <w:rsid w:val="00EC196F"/>
    <w:rsid w:val="00ED61C5"/>
    <w:rsid w:val="00EE482C"/>
    <w:rsid w:val="00EF16CE"/>
    <w:rsid w:val="00F033EA"/>
    <w:rsid w:val="00F11173"/>
    <w:rsid w:val="00F13ECE"/>
    <w:rsid w:val="00F34E59"/>
    <w:rsid w:val="00F40AC4"/>
    <w:rsid w:val="00F45F85"/>
    <w:rsid w:val="00F63B9C"/>
    <w:rsid w:val="00F978F2"/>
    <w:rsid w:val="00FA2067"/>
    <w:rsid w:val="00FB1CA8"/>
    <w:rsid w:val="00FB5D10"/>
    <w:rsid w:val="00FC50A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604B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4A3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52F2-2B14-4E4A-B69A-6DAB4AA4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113</cp:revision>
  <dcterms:created xsi:type="dcterms:W3CDTF">2022-11-10T23:13:00Z</dcterms:created>
  <dcterms:modified xsi:type="dcterms:W3CDTF">2023-06-14T20:45:00Z</dcterms:modified>
</cp:coreProperties>
</file>