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POSTURE PROFESSIONNELLE ENVERS L’ÉLÈVE ET SA FAMILLE</w:t>
      </w:r>
    </w:p>
    <w:p>
      <w:pPr>
        <w:spacing w:after="260"/>
      </w:pPr>
      <w:r>
        <w:rPr>
          <w:i/>
          <w:iCs/>
          <w:color w:val="555555"/>
          <w:sz w:val="24"/>
          <w:szCs w:val="24"/>
        </w:rPr>
        <w:t xml:space="preserve">Quatre canevas de réflexion d’équipe — sanctions, conseils de classe, appréciations, rencontres avec les familles</w:t>
      </w:r>
    </w:p>
    <w:p>
      <w:pPr>
        <w:pStyle w:val="Heading2"/>
      </w:pPr>
      <w:r>
        <w:t xml:space="preserve">Objectif</w:t>
      </w:r>
    </w:p>
    <w:p>
      <w:pPr>
        <w:spacing w:after="160"/>
      </w:pPr>
      <w:r>
        <w:t xml:space="preserve">Cet outil propose un support de réflexion collective pour expliciter les valeurs partagées par l’équipe enseignante autour de quatre moments-clés de la vie scolaire où se joue concrètement le regard porté sur l’élève — et sur sa famille : la sanction, le conseil de classe, l’appréciation écrite et la rencontre avec les parents.</w:t>
      </w:r>
    </w:p>
    <w:p>
      <w:pPr>
        <w:spacing w:after="160"/>
      </w:pPr>
      <w:r>
        <w:t xml:space="preserve">Il ne s’agit pas d’imposer une doctrine, mais de donner un cadre commun pour nommer ce que l’équipe refuse de faire, ce qu’elle reconnaît comme un droit de l’élève, puis d’en tirer des engagements concrets et vérifiables, propres à l’établissement.</w:t>
      </w:r>
    </w:p>
    <w:p>
      <w:pPr>
        <w:spacing w:after="200"/>
      </w:pPr>
      <w:r>
        <w:t xml:space="preserve">La structure repose sur trois regards complémentaires portés sur l’élève : un </w:t>
      </w:r>
      <w:r>
        <w:rPr>
          <w:b/>
          <w:bCs/>
        </w:rPr>
        <w:t xml:space="preserve">être en devenir</w:t>
      </w:r>
      <w:r>
        <w:t xml:space="preserve"> (qui a un avenir, pas seulement un passé ou des résultats), un </w:t>
      </w:r>
      <w:r>
        <w:rPr>
          <w:b/>
          <w:bCs/>
        </w:rPr>
        <w:t xml:space="preserve">être fragile</w:t>
      </w:r>
      <w:r>
        <w:t xml:space="preserve"> (qui a droit à l’erreur), et un </w:t>
      </w:r>
      <w:r>
        <w:rPr>
          <w:b/>
          <w:bCs/>
        </w:rPr>
        <w:t xml:space="preserve">être relié</w:t>
      </w:r>
      <w:r>
        <w:t xml:space="preserve"> (qui appartient à un collectif et ne doit jamais être renvoyé à la solitude).</w:t>
      </w:r>
    </w:p>
    <w:p>
      <w:pPr>
        <w:pStyle w:val="Heading2"/>
      </w:pPr>
      <w:r>
        <w:t xml:space="preserve">Mode d’emploi suggéré</w:t>
      </w:r>
    </w:p>
    <w:p>
      <w:pPr>
        <w:pStyle w:val="ListParagraph"/>
        <w:numPr>
          <w:ilvl w:val="0"/>
          <w:numId w:val="2"/>
        </w:numPr>
        <w:spacing w:after="100"/>
      </w:pPr>
      <w:r>
        <w:rPr>
          <w:b/>
          <w:bCs/>
        </w:rPr>
        <w:t xml:space="preserve">Lecture individuelle préalable</w:t>
      </w:r>
      <w:r>
        <w:t xml:space="preserve"> des trois lignes du tableau, pour un des quatre thèmes (10–15 min).</w:t>
      </w:r>
    </w:p>
    <w:p>
      <w:pPr>
        <w:pStyle w:val="ListParagraph"/>
        <w:numPr>
          <w:ilvl w:val="0"/>
          <w:numId w:val="2"/>
        </w:numPr>
        <w:spacing w:after="100"/>
      </w:pPr>
      <w:r>
        <w:rPr>
          <w:b/>
          <w:bCs/>
        </w:rPr>
        <w:t xml:space="preserve">Discussion en équipe</w:t>
      </w:r>
      <w:r>
        <w:t xml:space="preserve">, thème par thème : « Est-ce que je me reconnais dans ce refus, dans ce droit ? » puis « Qu’est-ce que cela implique concrètement chez nous ? »</w:t>
      </w:r>
    </w:p>
    <w:p>
      <w:pPr>
        <w:pStyle w:val="ListParagraph"/>
        <w:numPr>
          <w:ilvl w:val="0"/>
          <w:numId w:val="2"/>
        </w:numPr>
        <w:spacing w:after="100"/>
      </w:pPr>
      <w:r>
        <w:rPr>
          <w:b/>
          <w:bCs/>
        </w:rPr>
        <w:t xml:space="preserve">Remplir la colonne de droite</w:t>
      </w:r>
      <w:r>
        <w:t xml:space="preserve"> (« Notre engagement ») avec des formulations propres à l’établissement, observables et vérifiables — pas de vœux pieux.</w:t>
      </w:r>
    </w:p>
    <w:p>
      <w:pPr>
        <w:pStyle w:val="ListParagraph"/>
        <w:numPr>
          <w:ilvl w:val="0"/>
          <w:numId w:val="2"/>
        </w:numPr>
        <w:spacing w:after="220"/>
      </w:pPr>
      <w:r>
        <w:rPr>
          <w:b/>
          <w:bCs/>
        </w:rPr>
        <w:t xml:space="preserve">Prioriser 2 à 3 engagements</w:t>
      </w:r>
      <w:r>
        <w:t xml:space="preserve"> par thème à mettre en pratique dans l’année, avec une échéance de relecture (ex. fin de semestre).</w:t>
      </w:r>
    </w:p>
    <w:p>
      <w:pPr>
        <w:spacing w:after="100"/>
      </w:pPr>
      <w:r>
        <w:rPr>
          <w:b/>
          <w:bCs/>
        </w:rPr>
        <w:t xml:space="preserve">Format recommandé : </w:t>
      </w:r>
      <w:r>
        <w:t xml:space="preserve">journée pédagogique, conseil de direction, ou atelier de formation continue, en petits groupes de 4 à 6 personnes puis mise en commun.</w:t>
      </w:r>
    </w:p>
    <w:p>
      <w:pPr>
        <w:pBdr>
          <w:top w:val="single" w:color="CCCCCC" w:sz="4" w:space="8"/>
        </w:pBdr>
        <w:spacing w:before="240"/>
      </w:pPr>
      <w:r>
        <w:rPr>
          <w:b/>
          <w:bCs/>
          <w:i/>
          <w:iCs/>
          <w:color w:val="777777"/>
          <w:sz w:val="19"/>
          <w:szCs w:val="19"/>
        </w:rPr>
        <w:t xml:space="preserve">Note de transparence : </w:t>
      </w:r>
      <w:r>
        <w:rPr>
          <w:i/>
          <w:iCs/>
          <w:color w:val="777777"/>
          <w:sz w:val="19"/>
          <w:szCs w:val="19"/>
        </w:rPr>
        <w:t xml:space="preserve">ce document adapte un outil de réflexion publié par les Établissements catholiques d’enseignement de Champagne-Ardenne (« Changer de regard », août 2006). Les formulations à connotation confessionnelle ont été retirées ou reformulées en termes laïques pour cet usage en établissement public.</w:t>
      </w:r>
    </w:p>
    <w:p>
      <w:pPr>
        <w:sectPr>
          <w:pgSz w:w="12240" w:h="15840" w:orient="portrait"/>
          <w:pgMar w:top="1080" w:right="1260" w:bottom="1080" w:left="1260" w:header="708" w:footer="708" w:gutter="0"/>
          <w:pgNumType/>
          <w:docGrid w:linePitch="360"/>
        </w:sectPr>
      </w:pPr>
    </w:p>
    <w:p>
      <w:pPr>
        <w:pStyle w:val="Heading2"/>
        <w:spacing w:after="140" w:before="200"/>
      </w:pPr>
      <w:r>
        <w:t xml:space="preserve">1. Des sanctions qui n’humilient ni ne blessent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la sanction-punition sans dialogue préalable, qui empêche de regarder vers l’avenir.</w:t>
            </w:r>
          </w:p>
          <w:p>
            <w:pPr>
              <w:pStyle w:val="ListParagraph"/>
              <w:numPr>
                <w:ilvl w:val="0"/>
                <w:numId w:val="3"/>
              </w:numPr>
              <w:spacing w:after="60"/>
            </w:pPr>
            <w:r>
              <w:rPr>
                <w:sz w:val="20"/>
                <w:szCs w:val="20"/>
              </w:rPr>
              <w:t xml:space="preserve">Refuser de réduire l’élève à l’étiquette laissée par une sanction.</w:t>
            </w:r>
          </w:p>
          <w:p>
            <w:pPr>
              <w:pStyle w:val="ListParagraph"/>
              <w:numPr>
                <w:ilvl w:val="0"/>
                <w:numId w:val="3"/>
              </w:numPr>
              <w:spacing w:after="60"/>
            </w:pPr>
            <w:r>
              <w:rPr>
                <w:sz w:val="20"/>
                <w:szCs w:val="20"/>
              </w:rPr>
              <w:t xml:space="preserve">Reconnaître la situation propre à chaque élève.</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Aider l’élève à réparer sans le faire douter de sa valeur.</w:t>
            </w:r>
          </w:p>
          <w:p>
            <w:pPr>
              <w:pStyle w:val="ListParagraph"/>
              <w:numPr>
                <w:ilvl w:val="0"/>
                <w:numId w:val="3"/>
              </w:numPr>
              <w:spacing w:after="60"/>
            </w:pPr>
            <w:r>
              <w:rPr>
                <w:sz w:val="20"/>
                <w:szCs w:val="20"/>
              </w:rPr>
              <w:t xml:space="preserve">Considérer l’épisode comme clos une fois la réparation effectuée.</w:t>
            </w:r>
          </w:p>
          <w:p>
            <w:pPr>
              <w:pStyle w:val="ListParagraph"/>
              <w:numPr>
                <w:ilvl w:val="0"/>
                <w:numId w:val="3"/>
              </w:numPr>
              <w:spacing w:after="60"/>
            </w:pPr>
            <w:r>
              <w:rPr>
                <w:sz w:val="20"/>
                <w:szCs w:val="20"/>
              </w:rPr>
              <w:t xml:space="preserve">Adapter la sanction à la personne, à son parcours, à ses besoins spécifiques.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toute sanction humiliante qui enferme dans la faute.</w:t>
            </w:r>
          </w:p>
          <w:p>
            <w:pPr>
              <w:pStyle w:val="ListParagraph"/>
              <w:numPr>
                <w:ilvl w:val="0"/>
                <w:numId w:val="3"/>
              </w:numPr>
              <w:spacing w:after="60"/>
            </w:pPr>
            <w:r>
              <w:rPr>
                <w:sz w:val="20"/>
                <w:szCs w:val="20"/>
              </w:rPr>
              <w:t xml:space="preserve">Refuser une punition qui empêche l’élève de s’approprier son acte et de le réparer.</w:t>
            </w:r>
          </w:p>
          <w:p>
            <w:pPr>
              <w:pStyle w:val="ListParagraph"/>
              <w:numPr>
                <w:ilvl w:val="0"/>
                <w:numId w:val="3"/>
              </w:numPr>
              <w:spacing w:after="60"/>
            </w:pPr>
            <w:r>
              <w:rPr>
                <w:sz w:val="20"/>
                <w:szCs w:val="20"/>
              </w:rPr>
              <w:t xml:space="preserve">Reconnaître le droit à l’erreur comme une étape d’apprentissage du vivre-ensemble.</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Proscrire toute humiliation, en public comme en privé.</w:t>
            </w:r>
          </w:p>
          <w:p>
            <w:pPr>
              <w:pStyle w:val="ListParagraph"/>
              <w:numPr>
                <w:ilvl w:val="0"/>
                <w:numId w:val="3"/>
              </w:numPr>
              <w:spacing w:after="60"/>
            </w:pPr>
            <w:r>
              <w:rPr>
                <w:sz w:val="20"/>
                <w:szCs w:val="20"/>
              </w:rPr>
              <w:t xml:space="preserve">Abandonner les punitions qui ne permettent ni réflexion ni réparation.</w:t>
            </w:r>
          </w:p>
          <w:p>
            <w:pPr>
              <w:pStyle w:val="ListParagraph"/>
              <w:numPr>
                <w:ilvl w:val="0"/>
                <w:numId w:val="3"/>
              </w:numPr>
              <w:spacing w:after="60"/>
            </w:pPr>
            <w:r>
              <w:rPr>
                <w:sz w:val="20"/>
                <w:szCs w:val="20"/>
              </w:rPr>
              <w:t xml:space="preserve">Considérer l’erreur et la faute comme des étapes utiles plutôt que des fautes définitives.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renvoyer l’élève à la solitude après une faute ou un manquement.</w:t>
            </w:r>
          </w:p>
          <w:p>
            <w:pPr>
              <w:pStyle w:val="ListParagraph"/>
              <w:numPr>
                <w:ilvl w:val="0"/>
                <w:numId w:val="3"/>
              </w:numPr>
              <w:spacing w:after="60"/>
            </w:pPr>
            <w:r>
              <w:rPr>
                <w:sz w:val="20"/>
                <w:szCs w:val="20"/>
              </w:rPr>
              <w:t xml:space="preserve">Refuser l’incohérence dans nos exigences, qui empêche l’élève d’apprendre où sont les limites.</w:t>
            </w:r>
          </w:p>
          <w:p>
            <w:pPr>
              <w:pStyle w:val="ListParagraph"/>
              <w:numPr>
                <w:ilvl w:val="0"/>
                <w:numId w:val="3"/>
              </w:numPr>
              <w:spacing w:after="60"/>
            </w:pPr>
            <w:r>
              <w:rPr>
                <w:sz w:val="20"/>
                <w:szCs w:val="20"/>
              </w:rPr>
              <w:t xml:space="preserve">Reconnaître à chacun le droit à la parole quand une sanction est nécessaire.</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 vrais temps de dialogue lorsqu’une sanction est nécessaire.</w:t>
            </w:r>
          </w:p>
          <w:p>
            <w:pPr>
              <w:pStyle w:val="ListParagraph"/>
              <w:numPr>
                <w:ilvl w:val="0"/>
                <w:numId w:val="3"/>
              </w:numPr>
              <w:spacing w:after="60"/>
            </w:pPr>
            <w:r>
              <w:rPr>
                <w:sz w:val="20"/>
                <w:szCs w:val="20"/>
              </w:rPr>
              <w:t xml:space="preserve">Assumer les divergences au sein de l’équipe pour élaborer des repères communs.</w:t>
            </w:r>
          </w:p>
          <w:p>
            <w:pPr>
              <w:pStyle w:val="ListParagraph"/>
              <w:numPr>
                <w:ilvl w:val="0"/>
                <w:numId w:val="3"/>
              </w:numPr>
              <w:spacing w:after="60"/>
            </w:pPr>
            <w:r>
              <w:rPr>
                <w:sz w:val="20"/>
                <w:szCs w:val="20"/>
              </w:rPr>
              <w:t xml:space="preserve">Tenir compte de l’environnement relationnel de l’élève au moment de sanctionner.</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2. Des conseils de classe qui refusent d’enfermer et d’étiqueter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paroles qui enferment l’élève dans ses résultats ou ses comportements.</w:t>
            </w:r>
          </w:p>
          <w:p>
            <w:pPr>
              <w:pStyle w:val="ListParagraph"/>
              <w:numPr>
                <w:ilvl w:val="0"/>
                <w:numId w:val="3"/>
              </w:numPr>
              <w:spacing w:after="60"/>
            </w:pPr>
            <w:r>
              <w:rPr>
                <w:sz w:val="20"/>
                <w:szCs w:val="20"/>
              </w:rPr>
              <w:t xml:space="preserve">Refuser la méfiance quant à son avenir.</w:t>
            </w:r>
          </w:p>
          <w:p>
            <w:pPr>
              <w:pStyle w:val="ListParagraph"/>
              <w:numPr>
                <w:ilvl w:val="0"/>
                <w:numId w:val="3"/>
              </w:numPr>
              <w:spacing w:after="60"/>
            </w:pPr>
            <w:r>
              <w:rPr>
                <w:sz w:val="20"/>
                <w:szCs w:val="20"/>
              </w:rPr>
              <w:t xml:space="preserve">Reconnaître le droit à un parcours personnalisé et accompagné.</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Repérer et formuler systématiquement d’abord ce qui a été réussi.</w:t>
            </w:r>
          </w:p>
          <w:p>
            <w:pPr>
              <w:pStyle w:val="ListParagraph"/>
              <w:numPr>
                <w:ilvl w:val="0"/>
                <w:numId w:val="3"/>
              </w:numPr>
              <w:spacing w:after="60"/>
            </w:pPr>
            <w:r>
              <w:rPr>
                <w:sz w:val="20"/>
                <w:szCs w:val="20"/>
              </w:rPr>
              <w:t xml:space="preserve">Chercher avec l’élève ses points d’appui dans tous les domaines.</w:t>
            </w:r>
          </w:p>
          <w:p>
            <w:pPr>
              <w:pStyle w:val="ListParagraph"/>
              <w:numPr>
                <w:ilvl w:val="0"/>
                <w:numId w:val="3"/>
              </w:numPr>
              <w:spacing w:after="60"/>
            </w:pPr>
            <w:r>
              <w:rPr>
                <w:sz w:val="20"/>
                <w:szCs w:val="20"/>
              </w:rPr>
              <w:t xml:space="preserve">Valoriser toutes les formes d’intelligence et de réussite.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les paroles blessantes qui jugent l’élève ou interprètent ses comportements.</w:t>
            </w:r>
          </w:p>
          <w:p>
            <w:pPr>
              <w:pStyle w:val="ListParagraph"/>
              <w:numPr>
                <w:ilvl w:val="0"/>
                <w:numId w:val="3"/>
              </w:numPr>
              <w:spacing w:after="60"/>
            </w:pPr>
            <w:r>
              <w:rPr>
                <w:sz w:val="20"/>
                <w:szCs w:val="20"/>
              </w:rPr>
              <w:t xml:space="preserve">Refuser de qualifier les comportements ou les personnes.</w:t>
            </w:r>
          </w:p>
          <w:p>
            <w:pPr>
              <w:pStyle w:val="ListParagraph"/>
              <w:numPr>
                <w:ilvl w:val="0"/>
                <w:numId w:val="3"/>
              </w:numPr>
              <w:spacing w:after="60"/>
            </w:pPr>
            <w:r>
              <w:rPr>
                <w:sz w:val="20"/>
                <w:szCs w:val="20"/>
              </w:rPr>
              <w:t xml:space="preserve">Reconnaître le droit à l’erreur, à la faille, à l’échec comme des étapes traversées plutôt que des verdicts.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Mesurer l’impact des paroles prononcées avant, pendant et après le conseil.</w:t>
            </w:r>
          </w:p>
          <w:p>
            <w:pPr>
              <w:pStyle w:val="ListParagraph"/>
              <w:numPr>
                <w:ilvl w:val="0"/>
                <w:numId w:val="3"/>
              </w:numPr>
              <w:spacing w:after="60"/>
            </w:pPr>
            <w:r>
              <w:rPr>
                <w:sz w:val="20"/>
                <w:szCs w:val="20"/>
              </w:rPr>
              <w:t xml:space="preserve">Permettre à l’élève et à ses parents d’avoir la parole et d’être entendus.</w:t>
            </w:r>
          </w:p>
          <w:p>
            <w:pPr>
              <w:pStyle w:val="ListParagraph"/>
              <w:numPr>
                <w:ilvl w:val="0"/>
                <w:numId w:val="3"/>
              </w:numPr>
              <w:spacing w:after="60"/>
            </w:pPr>
            <w:r>
              <w:rPr>
                <w:sz w:val="20"/>
                <w:szCs w:val="20"/>
              </w:rPr>
              <w:t xml:space="preserve">Proposer des objectifs réalistes pour faire progresser l’élève.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renvoyer l’élève à la solitude face à la difficulté, à l’échec ou au découragement.</w:t>
            </w:r>
          </w:p>
          <w:p>
            <w:pPr>
              <w:pStyle w:val="ListParagraph"/>
              <w:numPr>
                <w:ilvl w:val="0"/>
                <w:numId w:val="3"/>
              </w:numPr>
              <w:spacing w:after="60"/>
            </w:pPr>
            <w:r>
              <w:rPr>
                <w:sz w:val="20"/>
                <w:szCs w:val="20"/>
              </w:rPr>
              <w:t xml:space="preserve">Refuser l’absence de dialogue avant et après le conseil de classe.</w:t>
            </w:r>
          </w:p>
          <w:p>
            <w:pPr>
              <w:pStyle w:val="ListParagraph"/>
              <w:numPr>
                <w:ilvl w:val="0"/>
                <w:numId w:val="3"/>
              </w:numPr>
              <w:spacing w:after="60"/>
            </w:pPr>
            <w:r>
              <w:rPr>
                <w:sz w:val="20"/>
                <w:szCs w:val="20"/>
              </w:rPr>
              <w:t xml:space="preserve">Reconnaître à chacun une place pendant le conseil.</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Favoriser les démarches collectives vers la réussite.</w:t>
            </w:r>
          </w:p>
          <w:p>
            <w:pPr>
              <w:pStyle w:val="ListParagraph"/>
              <w:numPr>
                <w:ilvl w:val="0"/>
                <w:numId w:val="3"/>
              </w:numPr>
              <w:spacing w:after="60"/>
            </w:pPr>
            <w:r>
              <w:rPr>
                <w:sz w:val="20"/>
                <w:szCs w:val="20"/>
              </w:rPr>
              <w:t xml:space="preserve">Développer les échanges entre élèves et l’apprentissage entre pairs.</w:t>
            </w:r>
          </w:p>
          <w:p>
            <w:pPr>
              <w:pStyle w:val="ListParagraph"/>
              <w:numPr>
                <w:ilvl w:val="0"/>
                <w:numId w:val="3"/>
              </w:numPr>
              <w:spacing w:after="60"/>
            </w:pPr>
            <w:r>
              <w:rPr>
                <w:sz w:val="20"/>
                <w:szCs w:val="20"/>
              </w:rPr>
              <w:t xml:space="preserve">Proposer, à qui le souhaite, une relation individuelle régulière avec un adulte référent.</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3. Des appréciations qui partent de ce qui est déjà réussi</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appréciations exclusivement négatives.</w:t>
            </w:r>
          </w:p>
          <w:p>
            <w:pPr>
              <w:pStyle w:val="ListParagraph"/>
              <w:numPr>
                <w:ilvl w:val="0"/>
                <w:numId w:val="3"/>
              </w:numPr>
              <w:spacing w:after="60"/>
            </w:pPr>
            <w:r>
              <w:rPr>
                <w:sz w:val="20"/>
                <w:szCs w:val="20"/>
              </w:rPr>
              <w:t xml:space="preserve">Refuser celles qui enferment l’élève dans son présent ou son passé.</w:t>
            </w:r>
          </w:p>
          <w:p>
            <w:pPr>
              <w:pStyle w:val="ListParagraph"/>
              <w:numPr>
                <w:ilvl w:val="0"/>
                <w:numId w:val="3"/>
              </w:numPr>
              <w:spacing w:after="60"/>
            </w:pPr>
            <w:r>
              <w:rPr>
                <w:sz w:val="20"/>
                <w:szCs w:val="20"/>
              </w:rPr>
              <w:t xml:space="preserve">Reconnaître le droit à des perspectives pour poursuivre un parcours.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Permettre à l’élève de repérer systématiquement ce qu’il a réussi.</w:t>
            </w:r>
          </w:p>
          <w:p>
            <w:pPr>
              <w:pStyle w:val="ListParagraph"/>
              <w:numPr>
                <w:ilvl w:val="0"/>
                <w:numId w:val="3"/>
              </w:numPr>
              <w:spacing w:after="60"/>
            </w:pPr>
            <w:r>
              <w:rPr>
                <w:sz w:val="20"/>
                <w:szCs w:val="20"/>
              </w:rPr>
              <w:t xml:space="preserve">Indiquer clairement des pistes concrètes de progrès.</w:t>
            </w:r>
          </w:p>
          <w:p>
            <w:pPr>
              <w:pStyle w:val="ListParagraph"/>
              <w:numPr>
                <w:ilvl w:val="0"/>
                <w:numId w:val="3"/>
              </w:numPr>
              <w:spacing w:after="60"/>
            </w:pPr>
            <w:r>
              <w:rPr>
                <w:sz w:val="20"/>
                <w:szCs w:val="20"/>
              </w:rPr>
              <w:t xml:space="preserve">Valoriser les compétences dans tous les domaines des bulletins scolaires.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les paroles qui touchent à l’estime de soi dans les appréciations.</w:t>
            </w:r>
          </w:p>
          <w:p>
            <w:pPr>
              <w:pStyle w:val="ListParagraph"/>
              <w:numPr>
                <w:ilvl w:val="0"/>
                <w:numId w:val="3"/>
              </w:numPr>
              <w:spacing w:after="60"/>
            </w:pPr>
            <w:r>
              <w:rPr>
                <w:sz w:val="20"/>
                <w:szCs w:val="20"/>
              </w:rPr>
              <w:t xml:space="preserve">Refuser l’incohérence entre résultats chiffrés et appréciations écrites.</w:t>
            </w:r>
          </w:p>
          <w:p>
            <w:pPr>
              <w:pStyle w:val="ListParagraph"/>
              <w:numPr>
                <w:ilvl w:val="0"/>
                <w:numId w:val="3"/>
              </w:numPr>
              <w:spacing w:after="60"/>
            </w:pPr>
            <w:r>
              <w:rPr>
                <w:sz w:val="20"/>
                <w:szCs w:val="20"/>
              </w:rPr>
              <w:t xml:space="preserve">Reconnaître le droit à l’erreur dans tous les domaines.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Proscrire les formulations générales, globalisantes ou enfermantes.</w:t>
            </w:r>
          </w:p>
          <w:p>
            <w:pPr>
              <w:pStyle w:val="ListParagraph"/>
              <w:numPr>
                <w:ilvl w:val="0"/>
                <w:numId w:val="3"/>
              </w:numPr>
              <w:spacing w:after="60"/>
            </w:pPr>
            <w:r>
              <w:rPr>
                <w:sz w:val="20"/>
                <w:szCs w:val="20"/>
              </w:rPr>
              <w:t xml:space="preserve">Proposer des pistes de remédiation et de progrès.</w:t>
            </w:r>
          </w:p>
          <w:p>
            <w:pPr>
              <w:pStyle w:val="ListParagraph"/>
              <w:numPr>
                <w:ilvl w:val="0"/>
                <w:numId w:val="3"/>
              </w:numPr>
              <w:spacing w:after="60"/>
            </w:pPr>
            <w:r>
              <w:rPr>
                <w:sz w:val="20"/>
                <w:szCs w:val="20"/>
              </w:rPr>
              <w:t xml:space="preserve">Juger les productions sans qualifier les personnes.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la seule parole écrite, sans possibilité de rencontre.</w:t>
            </w:r>
          </w:p>
          <w:p>
            <w:pPr>
              <w:pStyle w:val="ListParagraph"/>
              <w:numPr>
                <w:ilvl w:val="0"/>
                <w:numId w:val="3"/>
              </w:numPr>
              <w:spacing w:after="60"/>
            </w:pPr>
            <w:r>
              <w:rPr>
                <w:sz w:val="20"/>
                <w:szCs w:val="20"/>
              </w:rPr>
              <w:t xml:space="preserve">Refuser les jugements qui peuvent peser sur l’avenir de l’élève.</w:t>
            </w:r>
          </w:p>
          <w:p>
            <w:pPr>
              <w:pStyle w:val="ListParagraph"/>
              <w:numPr>
                <w:ilvl w:val="0"/>
                <w:numId w:val="3"/>
              </w:numPr>
              <w:spacing w:after="60"/>
            </w:pPr>
            <w:r>
              <w:rPr>
                <w:sz w:val="20"/>
                <w:szCs w:val="20"/>
              </w:rPr>
              <w:t xml:space="preserve">Reconnaître le droit à un espace de parole autour des appréciations.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des temps et des lieux d’échange entre enseignants.</w:t>
            </w:r>
          </w:p>
          <w:p>
            <w:pPr>
              <w:pStyle w:val="ListParagraph"/>
              <w:numPr>
                <w:ilvl w:val="0"/>
                <w:numId w:val="3"/>
              </w:numPr>
              <w:spacing w:after="60"/>
            </w:pPr>
            <w:r>
              <w:rPr>
                <w:sz w:val="20"/>
                <w:szCs w:val="20"/>
              </w:rPr>
              <w:t xml:space="preserve">Tenir compte du parcours, des progrès, des aspirations et des efforts de l’élève, même s’il n’a pas encore atteint la norme attendue.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r>
        <w:br w:type="page"/>
      </w:r>
    </w:p>
    <w:p>
      <w:pPr>
        <w:pStyle w:val="Heading2"/>
        <w:spacing w:after="140" w:before="200"/>
      </w:pPr>
      <w:r>
        <w:t xml:space="preserve">4. Des rencontres enseignants-parents qui prennent en compte toute la dimension de la personne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750"/>
        <w:gridCol w:w="4300"/>
        <w:gridCol w:w="4300"/>
        <w:gridCol w:w="4050"/>
      </w:tblGrid>
      <w:tr>
        <w:trPr>
          <w:tblHeader/>
        </w:trPr>
        <w:tc>
          <w:tcPr>
            <w:tcW w:type="dxa" w:w="17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Si la personne est un…</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prenons le parti de…</w:t>
            </w:r>
          </w:p>
        </w:tc>
        <w:tc>
          <w:tcPr>
            <w:tcW w:type="dxa" w:w="430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Nous nous engageons à…</w:t>
            </w:r>
          </w:p>
        </w:tc>
        <w:tc>
          <w:tcPr>
            <w:tcW w:type="dxa" w:w="4050"/>
            <w:tcBorders>
              <w:top w:val="single" w:color="CCCCCC" w:sz="1"/>
              <w:left w:val="single" w:color="CCCCCC" w:sz="1"/>
              <w:bottom w:val="single" w:color="CCCCCC" w:sz="1"/>
              <w:right w:val="single" w:color="CCCCCC" w:sz="1"/>
            </w:tcBorders>
            <w:shd w:fill="2E4C7E" w:val="clear"/>
            <w:tcMar>
              <w:top w:type="dxa" w:w="110"/>
              <w:left w:type="dxa" w:w="140"/>
              <w:bottom w:type="dxa" w:w="110"/>
              <w:right w:type="dxa" w:w="140"/>
            </w:tcMar>
            <w:vAlign w:val="center"/>
          </w:tcPr>
          <w:p>
            <w:pPr>
              <w:jc w:val="center"/>
            </w:pPr>
            <w:r>
              <w:rPr>
                <w:b/>
                <w:bCs/>
                <w:color w:val="FFFFFF"/>
                <w:sz w:val="20"/>
                <w:szCs w:val="20"/>
              </w:rPr>
              <w:t xml:space="preserve">Notre engagement</w:t>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en devenir,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de transmettre aux jeunes la peur de leur propre avenir, qu’elle vienne des parents ou des enseignants.</w:t>
            </w:r>
          </w:p>
          <w:p>
            <w:pPr>
              <w:pStyle w:val="ListParagraph"/>
              <w:numPr>
                <w:ilvl w:val="0"/>
                <w:numId w:val="3"/>
              </w:numPr>
              <w:spacing w:after="60"/>
            </w:pPr>
            <w:r>
              <w:rPr>
                <w:sz w:val="20"/>
                <w:szCs w:val="20"/>
              </w:rPr>
              <w:t xml:space="preserve">Refuser d’enfermer l’élève dans son passé familial ou social.</w:t>
            </w:r>
          </w:p>
          <w:p>
            <w:pPr>
              <w:pStyle w:val="ListParagraph"/>
              <w:numPr>
                <w:ilvl w:val="0"/>
                <w:numId w:val="3"/>
              </w:numPr>
              <w:spacing w:after="60"/>
            </w:pPr>
            <w:r>
              <w:rPr>
                <w:sz w:val="20"/>
                <w:szCs w:val="20"/>
              </w:rPr>
              <w:t xml:space="preserve">Reconnaître le droit au tâtonnement, à un parcours atypique, à un temps long de construction de soi.</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Transmettre la confiance dans l’avenir de l’élève, en tant que parent comme en tant qu’enseignant.</w:t>
            </w:r>
          </w:p>
          <w:p>
            <w:pPr>
              <w:pStyle w:val="ListParagraph"/>
              <w:numPr>
                <w:ilvl w:val="0"/>
                <w:numId w:val="3"/>
              </w:numPr>
              <w:spacing w:after="60"/>
            </w:pPr>
            <w:r>
              <w:rPr>
                <w:sz w:val="20"/>
                <w:szCs w:val="20"/>
              </w:rPr>
              <w:t xml:space="preserve">Chercher ensemble des points d’appui pour le faire grandir.</w:t>
            </w:r>
          </w:p>
          <w:p>
            <w:pPr>
              <w:pStyle w:val="ListParagraph"/>
              <w:numPr>
                <w:ilvl w:val="0"/>
                <w:numId w:val="3"/>
              </w:numPr>
              <w:spacing w:after="60"/>
            </w:pPr>
            <w:r>
              <w:rPr>
                <w:sz w:val="20"/>
                <w:szCs w:val="20"/>
              </w:rPr>
              <w:t xml:space="preserve">Cultiver la patience et accepter le temps de maturation propre à chacun.</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fragile, alors…</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Refuser le jugement de l’école sur les familles.</w:t>
            </w:r>
          </w:p>
          <w:p>
            <w:pPr>
              <w:pStyle w:val="ListParagraph"/>
              <w:numPr>
                <w:ilvl w:val="0"/>
                <w:numId w:val="3"/>
              </w:numPr>
              <w:spacing w:after="60"/>
            </w:pPr>
            <w:r>
              <w:rPr>
                <w:sz w:val="20"/>
                <w:szCs w:val="20"/>
              </w:rPr>
              <w:t xml:space="preserve">Refuser les paroles qui peuvent fragiliser parents ou enseignants dans leurs compétences éducatives.</w:t>
            </w:r>
          </w:p>
          <w:p>
            <w:pPr>
              <w:pStyle w:val="ListParagraph"/>
              <w:numPr>
                <w:ilvl w:val="0"/>
                <w:numId w:val="3"/>
              </w:numPr>
              <w:spacing w:after="60"/>
            </w:pPr>
            <w:r>
              <w:rPr>
                <w:sz w:val="20"/>
                <w:szCs w:val="20"/>
              </w:rPr>
              <w:t xml:space="preserve">Reconnaître le droit à la divergence de vue, à une confrontation constructive, au respect de la place de chacun.</w:t>
            </w:r>
          </w:p>
        </w:tc>
        <w:tc>
          <w:tcPr>
            <w:tcW w:type="dxa" w:w="4300"/>
            <w:tcBorders>
              <w:top w:val="single" w:color="CCCCCC" w:sz="1"/>
              <w:left w:val="single" w:color="CCCCCC" w:sz="1"/>
              <w:bottom w:val="single" w:color="CCCCCC" w:sz="1"/>
              <w:right w:val="single" w:color="CCCCCC" w:sz="1"/>
            </w:tcBorders>
            <w:shd w:fill="EAF1FA" w:val="clear"/>
            <w:tcMar>
              <w:top w:type="dxa" w:w="120"/>
              <w:left w:type="dxa" w:w="140"/>
              <w:bottom w:type="dxa" w:w="120"/>
              <w:right w:type="dxa" w:w="140"/>
            </w:tcMar>
          </w:tcPr>
          <w:p>
            <w:pPr>
              <w:pStyle w:val="ListParagraph"/>
              <w:numPr>
                <w:ilvl w:val="0"/>
                <w:numId w:val="3"/>
              </w:numPr>
              <w:spacing w:after="60"/>
            </w:pPr>
            <w:r>
              <w:rPr>
                <w:sz w:val="20"/>
                <w:szCs w:val="20"/>
              </w:rPr>
              <w:t xml:space="preserve">Multiplier les occasions de rencontres pour dépasser les craintes réciproques et développer le partenariat école-famille.</w:t>
            </w:r>
          </w:p>
          <w:p>
            <w:pPr>
              <w:pStyle w:val="ListParagraph"/>
              <w:numPr>
                <w:ilvl w:val="0"/>
                <w:numId w:val="3"/>
              </w:numPr>
              <w:spacing w:after="60"/>
            </w:pPr>
            <w:r>
              <w:rPr>
                <w:sz w:val="20"/>
                <w:szCs w:val="20"/>
              </w:rPr>
              <w:t xml:space="preserve">Accepter le regard de l’autre sur l’enfant, sans prendre sa place, en l’écoutant comme personne.</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r>
        <w:trPr>
          <w:cantSplit/>
        </w:trPr>
        <w:tc>
          <w:tcPr>
            <w:tcW w:type="dxa" w:w="1750"/>
            <w:tcBorders>
              <w:top w:val="single" w:color="CCCCCC" w:sz="1"/>
              <w:left w:val="single" w:color="CCCCCC" w:sz="1"/>
              <w:bottom w:val="single" w:color="CCCCCC" w:sz="1"/>
              <w:right w:val="single" w:color="CCCCCC" w:sz="1"/>
            </w:tcBorders>
            <w:shd w:fill="1F3864" w:val="clear"/>
            <w:tcMar>
              <w:top w:type="dxa" w:w="140"/>
              <w:left w:type="dxa" w:w="140"/>
              <w:bottom w:type="dxa" w:w="140"/>
              <w:right w:type="dxa" w:w="140"/>
            </w:tcMar>
            <w:vAlign w:val="center"/>
          </w:tcPr>
          <w:p>
            <w:r>
              <w:rPr>
                <w:b/>
                <w:bCs/>
                <w:color w:val="FFFFFF"/>
                <w:sz w:val="21"/>
                <w:szCs w:val="21"/>
              </w:rPr>
              <w:t xml:space="preserve">Être relié, alors…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Refuser les rencontres formelles qui ne permettent pas la relation.</w:t>
            </w:r>
          </w:p>
          <w:p>
            <w:pPr>
              <w:pStyle w:val="ListParagraph"/>
              <w:numPr>
                <w:ilvl w:val="0"/>
                <w:numId w:val="3"/>
              </w:numPr>
              <w:spacing w:after="60"/>
            </w:pPr>
            <w:r>
              <w:rPr>
                <w:sz w:val="20"/>
                <w:szCs w:val="20"/>
              </w:rPr>
              <w:t xml:space="preserve">Respecter la place de chacun, sans collusion ni concurrence.</w:t>
            </w:r>
          </w:p>
          <w:p>
            <w:pPr>
              <w:pStyle w:val="ListParagraph"/>
              <w:numPr>
                <w:ilvl w:val="0"/>
                <w:numId w:val="3"/>
              </w:numPr>
              <w:spacing w:after="60"/>
            </w:pPr>
            <w:r>
              <w:rPr>
                <w:sz w:val="20"/>
                <w:szCs w:val="20"/>
              </w:rPr>
              <w:t xml:space="preserve">Reconnaître le droit au débat, à la réflexion commune, à l’élaboration de repères éducatifs partagés.</w:t>
            </w:r>
          </w:p>
        </w:tc>
        <w:tc>
          <w:tcPr>
            <w:tcW w:type="dxa" w:w="4300"/>
            <w:tcBorders>
              <w:top w:val="single" w:color="CCCCCC" w:sz="1"/>
              <w:left w:val="single" w:color="CCCCCC" w:sz="1"/>
              <w:bottom w:val="single" w:color="CCCCCC" w:sz="1"/>
              <w:right w:val="single" w:color="CCCCCC" w:sz="1"/>
            </w:tcBorders>
            <w:tcMar>
              <w:top w:type="dxa" w:w="120"/>
              <w:left w:type="dxa" w:w="140"/>
              <w:bottom w:type="dxa" w:w="120"/>
              <w:right w:type="dxa" w:w="140"/>
            </w:tcMar>
          </w:tcPr>
          <w:p>
            <w:pPr>
              <w:pStyle w:val="ListParagraph"/>
              <w:numPr>
                <w:ilvl w:val="0"/>
                <w:numId w:val="3"/>
              </w:numPr>
              <w:spacing w:after="60"/>
            </w:pPr>
            <w:r>
              <w:rPr>
                <w:sz w:val="20"/>
                <w:szCs w:val="20"/>
              </w:rPr>
              <w:t xml:space="preserve">Ménager de vrais temps d’échange qui permettent de croiser les regards et d’enrichir la connaissance que chacun a de l’élève.</w:t>
            </w:r>
          </w:p>
          <w:p>
            <w:pPr>
              <w:pStyle w:val="ListParagraph"/>
              <w:numPr>
                <w:ilvl w:val="0"/>
                <w:numId w:val="3"/>
              </w:numPr>
              <w:spacing w:after="60"/>
            </w:pPr>
            <w:r>
              <w:rPr>
                <w:sz w:val="20"/>
                <w:szCs w:val="20"/>
              </w:rPr>
              <w:t xml:space="preserve">Proposer dans la durée des occasions de réflexion collective sur l’accompagnement des élèves.</w:t>
            </w:r>
          </w:p>
        </w:tc>
        <w:tc>
          <w:tcPr>
            <w:tcW w:type="dxa" w:w="4050"/>
            <w:tcBorders>
              <w:top w:val="dashed" w:color="9AAEC4" w:sz="2"/>
              <w:left w:val="dashed" w:color="9AAEC4" w:sz="2"/>
              <w:bottom w:val="dashed" w:color="9AAEC4" w:sz="2"/>
              <w:right w:val="dashed" w:color="9AAEC4" w:sz="2"/>
            </w:tcBorders>
            <w:shd w:fill="FAFBFC" w:val="clear"/>
            <w:tcMar>
              <w:top w:type="dxa" w:w="120"/>
              <w:left w:type="dxa" w:w="140"/>
              <w:bottom w:type="dxa" w:w="120"/>
              <w:right w:type="dxa" w:w="140"/>
            </w:tcMar>
          </w:tcPr>
          <w:p>
            <w:pPr>
              <w:spacing w:after="60"/>
            </w:pPr>
            <w:r>
              <w:rPr>
                <w:i/>
                <w:iCs/>
                <w:color w:val="9AAEC4"/>
                <w:sz w:val="17"/>
                <w:szCs w:val="17"/>
              </w:rPr>
              <w:t xml:space="preserve">(à compléter en équipe)</w:t>
            </w:r>
          </w:p>
          <w:p>
            <w:r>
              <w:rPr>
                <w:sz w:val="20"/>
                <w:szCs w:val="20"/>
              </w:rPr>
              <w:t xml:space="preserve"/>
            </w:r>
          </w:p>
          <w:p>
            <w:r>
              <w:rPr>
                <w:sz w:val="20"/>
                <w:szCs w:val="20"/>
              </w:rPr>
              <w:t xml:space="preserve"/>
            </w:r>
          </w:p>
          <w:p>
            <w:r>
              <w:rPr>
                <w:sz w:val="20"/>
                <w:szCs w:val="20"/>
              </w:rPr>
              <w:t xml:space="preserve"/>
            </w:r>
          </w:p>
        </w:tc>
      </w:tr>
    </w:tbl>
    <w:p>
      <w:pPr>
        <w:spacing w:before="260"/>
      </w:pPr>
      <w:r>
        <w:rPr>
          <w:i/>
          <w:iCs/>
          <w:color w:val="777777"/>
          <w:sz w:val="17"/>
          <w:szCs w:val="17"/>
        </w:rPr>
        <w:t>Source : adapté et sécularisé à partir de « Changer de regard », Établissements catholiques d’enseignement, Champagne-Ardenne, août 2006.</w:t>
      </w:r>
    </w:p>
    <w:p>
      <w:pPr>
        <w:pageBreakBefore/>
        <w:spacing w:before="0" w:after="160"/>
      </w:pPr>
    </w:p>
    <w:p>
      <w:pPr>
        <w:pStyle w:val="Heading2"/>
        <w:spacing w:before="200" w:after="120"/>
      </w:pPr>
      <w:r>
        <w:t>5. Décrire un comportement sans étiqueter l’élève</w:t>
      </w:r>
    </w:p>
    <w:p>
      <w:pPr>
        <w:spacing w:before="0" w:after="120"/>
      </w:pPr>
      <w:r>
        <w:rPr>
          <w:sz w:val="20"/>
          <w:szCs w:val="20"/>
        </w:rPr>
        <w:t>Dans les échanges avec les familles et au sein de l’équipe, le choix des mots influence directement la qualité de la communication et la suite de la collaboration. Une étiquette globale (“il est colérique”, “il est tricheur”) ferme la discussion : elle juge la personne plutôt que de décrire un fait, et peut être reçue comme un diagnostic alors qu’aucune équipe pluridisciplinaire ne l’a posé. Le tableau ci-dessous propose, pour une série de qualificatifs à éviter, une reformulation factuelle et observable — ce que l’on a concrètement vu ou entendu, plutôt qu’un jugement sur l’élève.</w:t>
      </w:r>
    </w:p>
    <w:p>
      <w:pPr>
        <w:spacing w:before="80" w:after="80"/>
      </w:pPr>
      <w:r>
        <w:rPr>
          <w:b/>
          <w:sz w:val="20"/>
          <w:szCs w:val="20"/>
        </w:rPr>
        <w:t>Deux principes avant tout échange</w:t>
      </w:r>
    </w:p>
    <w:p>
      <w:pPr>
        <w:pStyle w:val="ListParagraph"/>
        <w:numPr>
          <w:ilvl w:val="0"/>
          <w:numId w:val="1"/>
        </w:numPr>
        <w:spacing w:after="60"/>
      </w:pPr>
      <w:r>
        <w:rPr>
          <w:b/>
          <w:sz w:val="20"/>
          <w:szCs w:val="20"/>
        </w:rPr>
        <w:t xml:space="preserve">Parler des faits constatés, au nom de l’équipe</w:t>
      </w:r>
      <w:r>
        <w:rPr>
          <w:sz w:val="20"/>
          <w:szCs w:val="20"/>
        </w:rPr>
        <w:t xml:space="preserve"> — éviter les formulations sentencieuses du type “je vous dis que votre enfant est…” ou “je sais que votre enfant est…”.</w:t>
      </w:r>
    </w:p>
    <w:p>
      <w:pPr>
        <w:pStyle w:val="ListParagraph"/>
        <w:numPr>
          <w:ilvl w:val="0"/>
          <w:numId w:val="1"/>
        </w:numPr>
        <w:spacing w:after="120"/>
      </w:pPr>
      <w:r>
        <w:rPr>
          <w:b/>
          <w:sz w:val="20"/>
          <w:szCs w:val="20"/>
        </w:rPr>
        <w:t xml:space="preserve">Anticiper ce que l’interlocuteur va entendre</w:t>
      </w:r>
      <w:r>
        <w:rPr>
          <w:sz w:val="20"/>
          <w:szCs w:val="20"/>
        </w:rPr>
        <w:t xml:space="preserve"> — une description factuelle reste exigeante à recevoir ; elle doit être amenée avec autant de soin qu’un terme évité l’aurait été.</w:t>
      </w:r>
    </w:p>
    <w:tbl>
      <w:tblPr>
        <w:tblW w:type="dxa" w:w="14400"/>
        <w:tblLayout w:type="fixed"/>
        <w:tblCellMar>
          <w:top w:type="dxa" w:w="0"/>
          <w:left w:type="dxa" w:w="0"/>
          <w:bottom w:type="dxa" w:w="0"/>
          <w:right w:type="dxa" w:w="0"/>
        </w:tblCellMar>
      </w:tblPr>
      <w:tblGrid>
        <w:gridCol w:w="3400"/>
        <w:gridCol w:w="11000"/>
      </w:tblGrid>
      <w:tr>
        <w:trPr>
          <w:tblHeader/>
        </w:trPr>
        <w:tc>
          <w:tcPr>
            <w:tcW w:type="dxa" w:w="3400"/>
            <w:tcBorders>
              <w:top w:val="single" w:color="1F3864" w:sz="1"/>
            </w:tcBorders>
            <w:shd w:fill="1F3864" w:val="clear"/>
            <w:tcMar>
              <w:top w:type="dxa" w:w="120"/>
              <w:left w:type="dxa" w:w="140"/>
              <w:bottom w:type="dxa" w:w="120"/>
              <w:right w:type="dxa" w:w="140"/>
            </w:tcMar>
          </w:tcPr>
          <w:p>
            <w:pPr>
              <w:spacing w:after="0"/>
            </w:pPr>
            <w:r>
              <w:rPr>
                <w:b/>
                <w:color w:val="FFFFFF"/>
                <w:sz w:val="20"/>
                <w:szCs w:val="20"/>
              </w:rPr>
              <w:t>Terme à éviter</w:t>
            </w:r>
          </w:p>
        </w:tc>
        <w:tc>
          <w:tcPr>
            <w:tcW w:type="dxa" w:w="11000"/>
            <w:tcBorders>
              <w:top w:val="single" w:color="1F3864" w:sz="1"/>
            </w:tcBorders>
            <w:shd w:fill="1F3864" w:val="clear"/>
            <w:tcMar>
              <w:top w:type="dxa" w:w="120"/>
              <w:left w:type="dxa" w:w="140"/>
              <w:bottom w:type="dxa" w:w="120"/>
              <w:right w:type="dxa" w:w="140"/>
            </w:tcMar>
          </w:tcPr>
          <w:p>
            <w:pPr>
              <w:spacing w:after="0"/>
            </w:pPr>
            <w:r>
              <w:rPr>
                <w:b/>
                <w:color w:val="FFFFFF"/>
                <w:sz w:val="20"/>
                <w:szCs w:val="20"/>
              </w:rPr>
              <w:t>Description factuelle et observable (ce que l’on a vu ou entendu)</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colérique / soupe-au-lait</w:t>
            </w:r>
          </w:p>
        </w:tc>
        <w:tc>
          <w:tcPr>
            <w:tcW w:type="dxa" w:w="11000"/>
            <w:tcBorders>
              <w:bottom w:val="single" w:color="CCCCCC" w:sz="1"/>
            </w:tcBorders>
            <w:tcMar>
              <w:top w:type="dxa" w:w="100"/>
              <w:left w:type="dxa" w:w="140"/>
              <w:bottom w:type="dxa" w:w="100"/>
              <w:right w:type="dxa" w:w="140"/>
            </w:tcMar>
          </w:tcPr>
          <w:p>
            <w:pPr>
              <w:spacing w:after="0"/>
            </w:pPr>
            <w:r>
              <w:rPr>
                <w:sz w:val="19"/>
                <w:szCs w:val="19"/>
              </w:rPr>
              <w:t>Fait des crises de colère. Donne des coups, mord, se roule par terre, crie des insultes.</w:t>
            </w:r>
          </w:p>
        </w:tc>
      </w:tr>
      <w:tr>
        <w:tc>
          <w:tcPr>
            <w:tcW w:type="dxa" w:w="3400"/>
            <w:tcMar>
              <w:top w:type="dxa" w:w="100"/>
              <w:left w:type="dxa" w:w="140"/>
              <w:bottom w:type="dxa" w:w="100"/>
              <w:right w:type="dxa" w:w="140"/>
            </w:tcMar>
          </w:tcPr>
          <w:p>
            <w:pPr>
              <w:spacing w:after="0"/>
            </w:pPr>
            <w:r>
              <w:rPr>
                <w:b/>
                <w:sz w:val="19"/>
                <w:szCs w:val="19"/>
              </w:rPr>
              <w:t>bruyant</w:t>
            </w:r>
          </w:p>
        </w:tc>
        <w:tc>
          <w:tcPr>
            <w:tcW w:type="dxa" w:w="11000"/>
            <w:tcBorders>
              <w:bottom w:val="single" w:color="CCCCCC" w:sz="1"/>
            </w:tcBorders>
            <w:tcMar>
              <w:top w:type="dxa" w:w="100"/>
              <w:left w:type="dxa" w:w="140"/>
              <w:bottom w:type="dxa" w:w="100"/>
              <w:right w:type="dxa" w:w="140"/>
            </w:tcMar>
          </w:tcPr>
          <w:p>
            <w:pPr>
              <w:spacing w:after="0"/>
            </w:pPr>
            <w:r>
              <w:rPr>
                <w:sz w:val="19"/>
                <w:szCs w:val="19"/>
              </w:rPr>
              <w:t>Fredonne, fait des bruits étranges. Brise souvent des objets en sa possession.</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destructeur</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Déchire livres et cahiers. Détruit le travail des autres ou le sien. Est souvent impliqué dans des incidents destructeurs durant les récréations ou les repas.</w:t>
            </w:r>
          </w:p>
        </w:tc>
      </w:tr>
      <w:tr>
        <w:tc>
          <w:tcPr>
            <w:tcW w:type="dxa" w:w="3400"/>
            <w:tcMar>
              <w:top w:type="dxa" w:w="100"/>
              <w:left w:type="dxa" w:w="140"/>
              <w:bottom w:type="dxa" w:w="100"/>
              <w:right w:type="dxa" w:w="140"/>
            </w:tcMar>
          </w:tcPr>
          <w:p>
            <w:pPr>
              <w:spacing w:after="0"/>
            </w:pPr>
            <w:r>
              <w:rPr>
                <w:b/>
                <w:sz w:val="19"/>
                <w:szCs w:val="19"/>
              </w:rPr>
              <w:t>effronté</w:t>
            </w:r>
          </w:p>
        </w:tc>
        <w:tc>
          <w:tcPr>
            <w:tcW w:type="dxa" w:w="11000"/>
            <w:tcBorders>
              <w:bottom w:val="single" w:color="CCCCCC" w:sz="1"/>
            </w:tcBorders>
            <w:tcMar>
              <w:top w:type="dxa" w:w="100"/>
              <w:left w:type="dxa" w:w="140"/>
              <w:bottom w:type="dxa" w:w="100"/>
              <w:right w:type="dxa" w:w="140"/>
            </w:tcMar>
          </w:tcPr>
          <w:p>
            <w:pPr>
              <w:spacing w:after="0"/>
            </w:pPr>
            <w:r>
              <w:rPr>
                <w:sz w:val="19"/>
                <w:szCs w:val="19"/>
              </w:rPr>
              <w:t>Insulte l’enseignant et les élèves. Tient tête de façon impolie. Fait des commentaires à tort et à travers. Manifeste de l’insolence, de l’arrogance.</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impulsif</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Intervient en dehors du sujet. Réplique, rouspète, agit sans réfléchir. S’impatiente devant une tâche à répéter. Commence une activité avant d’avoir reçu toutes les consignes. Contrôle difficilement son anxiété face à une nouvelle activité.</w:t>
            </w:r>
          </w:p>
        </w:tc>
      </w:tr>
      <w:tr>
        <w:tc>
          <w:tcPr>
            <w:tcW w:type="dxa" w:w="3400"/>
            <w:tcMar>
              <w:top w:type="dxa" w:w="100"/>
              <w:left w:type="dxa" w:w="140"/>
              <w:bottom w:type="dxa" w:w="100"/>
              <w:right w:type="dxa" w:w="140"/>
            </w:tcMar>
          </w:tcPr>
          <w:p>
            <w:pPr>
              <w:spacing w:after="0"/>
            </w:pPr>
            <w:r>
              <w:rPr>
                <w:b/>
                <w:sz w:val="19"/>
                <w:szCs w:val="19"/>
              </w:rPr>
              <w:t>irrespectueux</w:t>
            </w:r>
          </w:p>
        </w:tc>
        <w:tc>
          <w:tcPr>
            <w:tcW w:type="dxa" w:w="11000"/>
            <w:tcBorders>
              <w:bottom w:val="single" w:color="CCCCCC" w:sz="1"/>
            </w:tcBorders>
            <w:tcMar>
              <w:top w:type="dxa" w:w="100"/>
              <w:left w:type="dxa" w:w="140"/>
              <w:bottom w:type="dxa" w:w="100"/>
              <w:right w:type="dxa" w:w="140"/>
            </w:tcMar>
          </w:tcPr>
          <w:p>
            <w:pPr>
              <w:spacing w:after="0"/>
            </w:pPr>
            <w:r>
              <w:rPr>
                <w:sz w:val="19"/>
                <w:szCs w:val="19"/>
              </w:rPr>
              <w:t>Brise les objets des autres. Manque de franchise, vole, ne reconnaît pas ses torts. A des difficultés à se faire des amis. Est facilement influençable pour détruire.</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tricheur</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N’accepte pas les règles du jeu et tente constamment de les contourner. Change les règles à son avantage. Blâme ses camarades pour ses échecs. Vit le rejet par les autres élèves.</w:t>
            </w:r>
          </w:p>
        </w:tc>
      </w:tr>
      <w:tr>
        <w:tc>
          <w:tcPr>
            <w:tcW w:type="dxa" w:w="3400"/>
            <w:tcMar>
              <w:top w:type="dxa" w:w="100"/>
              <w:left w:type="dxa" w:w="140"/>
              <w:bottom w:type="dxa" w:w="100"/>
              <w:right w:type="dxa" w:w="140"/>
            </w:tcMar>
          </w:tcPr>
          <w:p>
            <w:pPr>
              <w:spacing w:after="0"/>
            </w:pPr>
            <w:r>
              <w:rPr>
                <w:b/>
                <w:sz w:val="19"/>
                <w:szCs w:val="19"/>
              </w:rPr>
              <w:t>entêté</w:t>
            </w:r>
          </w:p>
        </w:tc>
        <w:tc>
          <w:tcPr>
            <w:tcW w:type="dxa" w:w="11000"/>
            <w:tcBorders>
              <w:bottom w:val="single" w:color="CCCCCC" w:sz="1"/>
            </w:tcBorders>
            <w:tcMar>
              <w:top w:type="dxa" w:w="100"/>
              <w:left w:type="dxa" w:w="140"/>
              <w:bottom w:type="dxa" w:w="100"/>
              <w:right w:type="dxa" w:w="140"/>
            </w:tcMar>
          </w:tcPr>
          <w:p>
            <w:pPr>
              <w:spacing w:after="0"/>
            </w:pPr>
            <w:r>
              <w:rPr>
                <w:sz w:val="19"/>
                <w:szCs w:val="19"/>
              </w:rPr>
              <w:t>S’oppose à l’autorité, se dispute continuellement avec les adultes. Enfreint les règlements. Refuse de faire ce qu’on lui demande. Accepte difficilement les changements.</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querelleur</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Se bat dans la cour, dans les rangs. Frappe les autres, les ridiculise. Se plaint des autres. N’accepte pas les taquineries, moqueries ou remarques d’autrui.</w:t>
            </w:r>
          </w:p>
        </w:tc>
      </w:tr>
      <w:tr>
        <w:tc>
          <w:tcPr>
            <w:tcW w:type="dxa" w:w="3400"/>
            <w:tcMar>
              <w:top w:type="dxa" w:w="100"/>
              <w:left w:type="dxa" w:w="140"/>
              <w:bottom w:type="dxa" w:w="100"/>
              <w:right w:type="dxa" w:w="140"/>
            </w:tcMar>
          </w:tcPr>
          <w:p>
            <w:pPr>
              <w:spacing w:after="0"/>
            </w:pPr>
            <w:r>
              <w:rPr>
                <w:b/>
                <w:sz w:val="19"/>
                <w:szCs w:val="19"/>
              </w:rPr>
              <w:t>remuant</w:t>
            </w:r>
          </w:p>
        </w:tc>
        <w:tc>
          <w:tcPr>
            <w:tcW w:type="dxa" w:w="11000"/>
            <w:tcBorders>
              <w:bottom w:val="single" w:color="CCCCCC" w:sz="1"/>
            </w:tcBorders>
            <w:tcMar>
              <w:top w:type="dxa" w:w="100"/>
              <w:left w:type="dxa" w:w="140"/>
              <w:bottom w:type="dxa" w:w="100"/>
              <w:right w:type="dxa" w:w="140"/>
            </w:tcMar>
          </w:tcPr>
          <w:p>
            <w:pPr>
              <w:spacing w:after="0"/>
            </w:pPr>
            <w:r>
              <w:rPr>
                <w:sz w:val="19"/>
                <w:szCs w:val="19"/>
              </w:rPr>
              <w:t>Bouge ses pieds, ses mains, ses affaires constamment. Se lève sans permission, s’agite sur sa chaise.</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qui cherche exagérément l’attention</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Recherche constamment les compliments ou l’approbation. Demande beaucoup d’attention ou d’aide à l’enseignant ou aux camarades. A un grand besoin d’être rassuré sur les consignes, même lorsqu’elles ont été données clairement.</w:t>
            </w:r>
          </w:p>
        </w:tc>
      </w:tr>
      <w:tr>
        <w:tc>
          <w:tcPr>
            <w:tcW w:type="dxa" w:w="3400"/>
            <w:tcMar>
              <w:top w:type="dxa" w:w="100"/>
              <w:left w:type="dxa" w:w="140"/>
              <w:bottom w:type="dxa" w:w="100"/>
              <w:right w:type="dxa" w:w="140"/>
            </w:tcMar>
          </w:tcPr>
          <w:p>
            <w:pPr>
              <w:spacing w:after="0"/>
            </w:pPr>
            <w:r>
              <w:rPr>
                <w:b/>
                <w:sz w:val="19"/>
                <w:szCs w:val="19"/>
              </w:rPr>
              <w:t>batailleur</w:t>
            </w:r>
          </w:p>
        </w:tc>
        <w:tc>
          <w:tcPr>
            <w:tcW w:type="dxa" w:w="11000"/>
            <w:tcBorders>
              <w:bottom w:val="single" w:color="CCCCCC" w:sz="1"/>
            </w:tcBorders>
            <w:tcMar>
              <w:top w:type="dxa" w:w="100"/>
              <w:left w:type="dxa" w:w="140"/>
              <w:bottom w:type="dxa" w:w="100"/>
              <w:right w:type="dxa" w:w="140"/>
            </w:tcMar>
          </w:tcPr>
          <w:p>
            <w:pPr>
              <w:spacing w:after="0"/>
            </w:pPr>
            <w:r>
              <w:rPr>
                <w:sz w:val="19"/>
                <w:szCs w:val="19"/>
              </w:rPr>
              <w:t>A besoin d’avoir raison. Ne recule devant rien pour obtenir gain de cause. S’en prend à la personne plutôt qu’à l’idée ou au projet en désaccord.</w:t>
            </w:r>
          </w:p>
        </w:tc>
      </w:tr>
      <w:tr>
        <w:tc>
          <w:tcPr>
            <w:tcW w:type="dxa" w:w="3400"/>
            <w:tcBorders>
              <w:top w:val="single" w:color="CCCCCC" w:sz="1"/>
              <w:bottom w:val="single" w:color="CCCCCC" w:sz="1"/>
            </w:tcBorders>
            <w:shd w:fill="E8EDF4" w:val="clear"/>
            <w:tcMar>
              <w:top w:type="dxa" w:w="100"/>
              <w:left w:type="dxa" w:w="140"/>
              <w:bottom w:type="dxa" w:w="100"/>
              <w:right w:type="dxa" w:w="140"/>
            </w:tcMar>
          </w:tcPr>
          <w:p>
            <w:pPr>
              <w:spacing w:after="0"/>
            </w:pPr>
            <w:r>
              <w:rPr>
                <w:b/>
                <w:sz w:val="19"/>
                <w:szCs w:val="19"/>
              </w:rPr>
              <w:t>taciturne</w:t>
            </w:r>
          </w:p>
        </w:tc>
        <w:tc>
          <w:tcPr>
            <w:tcW w:type="dxa" w:w="11000"/>
            <w:tcBorders>
              <w:bottom w:val="single" w:color="CCCCCC" w:sz="1"/>
            </w:tcBorders>
            <w:shd w:fill="E8EDF4" w:val="clear"/>
            <w:tcMar>
              <w:top w:type="dxa" w:w="100"/>
              <w:left w:type="dxa" w:w="140"/>
              <w:bottom w:type="dxa" w:w="100"/>
              <w:right w:type="dxa" w:w="140"/>
            </w:tcMar>
          </w:tcPr>
          <w:p>
            <w:pPr>
              <w:spacing w:after="0"/>
            </w:pPr>
            <w:r>
              <w:rPr>
                <w:sz w:val="19"/>
                <w:szCs w:val="19"/>
              </w:rPr>
              <w:t>Reste muet face aux questions posées. Se ferme dans les situations qui ne lui conviennent pas.</w:t>
            </w:r>
          </w:p>
        </w:tc>
      </w:tr>
      <w:tr>
        <w:tc>
          <w:tcPr>
            <w:tcW w:type="dxa" w:w="3400"/>
            <w:tcMar>
              <w:top w:type="dxa" w:w="100"/>
              <w:left w:type="dxa" w:w="140"/>
              <w:bottom w:type="dxa" w:w="100"/>
              <w:right w:type="dxa" w:w="140"/>
            </w:tcMar>
          </w:tcPr>
          <w:p>
            <w:pPr>
              <w:spacing w:after="0"/>
            </w:pPr>
            <w:r>
              <w:rPr>
                <w:b/>
                <w:sz w:val="19"/>
                <w:szCs w:val="19"/>
              </w:rPr>
              <w:t>grincheux</w:t>
            </w:r>
          </w:p>
        </w:tc>
        <w:tc>
          <w:tcPr>
            <w:tcW w:type="dxa" w:w="11000"/>
            <w:tcMar>
              <w:top w:type="dxa" w:w="100"/>
              <w:left w:type="dxa" w:w="140"/>
              <w:bottom w:type="dxa" w:w="100"/>
              <w:right w:type="dxa" w:w="140"/>
            </w:tcMar>
          </w:tcPr>
          <w:p>
            <w:pPr>
              <w:spacing w:after="0"/>
            </w:pPr>
            <w:r>
              <w:rPr>
                <w:sz w:val="19"/>
                <w:szCs w:val="19"/>
              </w:rPr>
              <w:t>Trouve quelque chose à redire sur tout.</w:t>
            </w:r>
          </w:p>
        </w:tc>
      </w:tr>
    </w:tbl>
    <w:p>
      <w:pPr>
        <w:spacing w:before="200"/>
      </w:pPr>
      <w:r>
        <w:rPr>
          <w:i/>
          <w:iCs/>
          <w:color w:val="777777"/>
          <w:sz w:val="17"/>
          <w:szCs w:val="17"/>
        </w:rPr>
        <w:t>Source : adapté de “Comportements difficiles”, Établissements catholiques d’enseignement, Champagne-Ardenne (Reims &amp; Châlons), tableau de vocabulaire, p. 31–32.</w:t>
      </w:r>
    </w:p>
    <w:sectPr>
      <w:pgSz w:w="15840" w:h="12240" w:orient="landscape"/>
      <w:pgMar w:top="700" w:right="720" w:bottom="7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8"/>
      <w:szCs w:val="38"/>
    </w:rPr>
  </w:style>
  <w:style w:type="paragraph" w:styleId="Heading2">
    <w:name w:val="Heading 2"/>
    <w:basedOn w:val="Normal"/>
    <w:next w:val="Normal"/>
    <w:qFormat/>
    <w:pPr>
      <w:spacing w:after="140" w:before="26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2E4C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2026-06-18T14:33:30.259Z</dcterms:created>
  <dcterms:modified xsi:type="dcterms:W3CDTF">2026-06-18T14:33:30.270Z</dcterms:modified>
</cp:coreProperties>
</file>

<file path=docProps/custom.xml><?xml version="1.0" encoding="utf-8"?>
<Properties xmlns="http://schemas.openxmlformats.org/officeDocument/2006/custom-properties" xmlns:vt="http://schemas.openxmlformats.org/officeDocument/2006/docPropsVTypes"/>
</file>