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GRILLE DES BESOINS FONDAMENTAUX</w:t>
      </w:r>
    </w:p>
    <w:p>
      <w:pPr>
        <w:spacing w:after="220"/>
      </w:pPr>
      <w:r>
        <w:rPr>
          <w:i/>
          <w:iCs/>
          <w:color w:val="555555"/>
          <w:sz w:val="24"/>
          <w:szCs w:val="24"/>
        </w:rPr>
        <w:t xml:space="preserve">Comportements difficiles, hypothèse du besoin sous-jacent et réponses possibles</w:t>
      </w:r>
    </w:p>
    <w:p>
      <w:pPr>
        <w:spacing w:after="200"/>
      </w:pPr>
      <w:r>
        <w:t xml:space="preserve">Grille de lecture complémentaire à l’analyse fonctionnelle du comportement (AFC) et à la grille Adler-Dreikurs. Là où l’AFC cherche la fonction d’un comportement (attention, évitement, tangible, autostimulation) et la grille Dreikurs explore une croyance cachée liée à un but précis (attention, pouvoir, revanche, incapacité), cette grille part d’un manque ressenti dans l’un des cinq besoins fondamentaux de l’élève — sécurité, identité, détermination, appartenance, sentiment de compétence — pour orienter une réponse pédagogique adaptée. Les trois lectures sont complémentaires et peuvent être croisées sur une même situation.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000"/>
        <w:gridCol w:w="560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Comportements observés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« Hypothèse »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Réponses possibles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Être timide de façon excessive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Exprimer souvent ses peurs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Mépriser ouvertement l’autorité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Se mettre souvent en colère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Ignorer les consignes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Remettre continuellement l’autorité en 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CC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5B4B00"/>
                <w:sz w:val="22"/>
                <w:szCs w:val="22"/>
              </w:rPr>
              <w:t xml:space="preserve">Insuffisance de sécurité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Établir des limites réalistes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Appliquer les règles de façon cohérente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Développer le respect de soi et le sens des responsabilités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Construire la confiance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Pleurer sans raison apparente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Être très critique à l’égard des enseignants et des autres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Se dire incompétent, être lunatique ou trop sensible à la critique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Avoir peur de déplaire aux adultes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Utiliser les excuses et blâmer les autres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Se plaindre continuellement d’un travail trop facile ou trop difficile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Minimiser ses réalisations ou vouloir dominer les autres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CC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5B4B00"/>
                <w:sz w:val="22"/>
                <w:szCs w:val="22"/>
              </w:rPr>
              <w:t xml:space="preserve">Insuffisance d’identité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Donner de la rétroaction (s’adresser à l’élève comme personne unique)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Faire preuve d’acceptation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Reconnaître les points forts de l’élève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Aider l’élève à évaluer ses forces et ses limites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Fournir peu d’efforts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Se décourager facilement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Toujours rechercher la supervision de l’adulte pour terminer son travail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Passer d’une activité à l’autre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Bâcler son travail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Être passif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CC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5B4B00"/>
                <w:sz w:val="22"/>
                <w:szCs w:val="22"/>
              </w:rPr>
              <w:t xml:space="preserve">Insuffisance de détermination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Communiquer les attentes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Développer la confiance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Aider l’élève à se donner des buts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S’isoler fréquemment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Avoir peu d’amis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Refuser de partager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Exclure les autres de ses activités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Se moquer des autres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Se vanter de façon excessive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CC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5B4B00"/>
                <w:sz w:val="22"/>
                <w:szCs w:val="22"/>
              </w:rPr>
              <w:t xml:space="preserve">Insuffisance d’appartenance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Responsabiliser les membres du groupe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Encourager l’acceptation et l’insertion de nouveaux membres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Se montrer très dépendant face à l’adulte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Avoir peur des risques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Prendre difficilement des décisions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Avoir constamment besoin d’encouragements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S’inquiéter des notes ou de l’avenir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Croire que la chance détermine le succès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Être très cynique face à la vie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N’avoir pas d’espoir de progresser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Penser qu’il est inutile d’essayer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CC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5B4B00"/>
                <w:sz w:val="22"/>
                <w:szCs w:val="22"/>
              </w:rPr>
              <w:t xml:space="preserve">Insuffisance de sentiment de compétence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Aider l’élève à faire des choix et à prendre des décisions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Fournir de l’encouragement et du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Aider l’élève à s’auto-évaluer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Reconnaître les efforts, les succès et les récompenser</w:t>
            </w:r>
          </w:p>
        </w:tc>
      </w:tr>
    </w:tbl>
    <w:p>
      <w:pPr>
        <w:spacing w:before="260"/>
      </w:pPr>
      <w:r>
        <w:rPr>
          <w:i/>
          <w:iCs/>
          <w:color w:val="777777"/>
          <w:sz w:val="19"/>
          <w:szCs w:val="19"/>
        </w:rPr>
        <w:t xml:space="preserve">Source : </w:t>
      </w:r>
      <w:r>
        <w:rPr>
          <w:i/>
          <w:iCs/>
          <w:color w:val="777777"/>
          <w:sz w:val="19"/>
          <w:szCs w:val="19"/>
        </w:rPr>
        <w:t xml:space="preserve">tableau repris dans « Comportements difficiles », Établissements catholiques d’enseignement, Champagne-Ardenne (Reims &amp; Châlons), p. 26.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2026-06-18T10:34:55.004Z</dcterms:created>
  <dcterms:modified xsi:type="dcterms:W3CDTF">2026-06-18T10:34:55.004Z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