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="0088378B">
        <w:rPr>
          <w:rFonts w:eastAsia="Times New Roman" w:cs="Arial"/>
          <w:b/>
          <w:sz w:val="36"/>
          <w:szCs w:val="48"/>
          <w:lang w:val="es-MX" w:eastAsia="es-VE"/>
        </w:rPr>
        <w:t>Developer Backend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3E6081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MARZO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</w:t>
      </w:r>
      <w:r w:rsidR="00617AF9">
        <w:rPr>
          <w:rFonts w:ascii="Arial" w:hAnsi="Arial" w:cs="Arial"/>
          <w:b/>
          <w:sz w:val="52"/>
          <w:szCs w:val="24"/>
          <w:lang w:val="es-CO"/>
        </w:rPr>
        <w:t>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286811">
        <w:rPr>
          <w:rFonts w:ascii="Arial" w:hAnsi="Arial" w:cs="Arial"/>
          <w:sz w:val="20"/>
          <w:szCs w:val="20"/>
        </w:rPr>
        <w:t>27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286811">
        <w:rPr>
          <w:rFonts w:ascii="Arial" w:hAnsi="Arial" w:cs="Arial"/>
          <w:sz w:val="20"/>
          <w:szCs w:val="20"/>
        </w:rPr>
        <w:t>Febrero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286811">
        <w:rPr>
          <w:rFonts w:ascii="Arial" w:hAnsi="Arial" w:cs="Arial"/>
          <w:sz w:val="20"/>
          <w:szCs w:val="20"/>
        </w:rPr>
        <w:t>27</w:t>
      </w:r>
      <w:r>
        <w:rPr>
          <w:rFonts w:ascii="Arial" w:hAnsi="Arial" w:cs="Arial"/>
          <w:sz w:val="20"/>
          <w:szCs w:val="20"/>
        </w:rPr>
        <w:t xml:space="preserve"> de </w:t>
      </w:r>
      <w:r w:rsidR="00286811">
        <w:rPr>
          <w:rFonts w:ascii="Arial" w:hAnsi="Arial" w:cs="Arial"/>
          <w:sz w:val="20"/>
          <w:szCs w:val="20"/>
        </w:rPr>
        <w:t>Febrero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D42032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88378B">
      <w:pPr>
        <w:pStyle w:val="Ttulo1"/>
        <w:tabs>
          <w:tab w:val="left" w:pos="4695"/>
        </w:tabs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  <w:r w:rsidR="0088378B">
        <w:rPr>
          <w:rFonts w:ascii="Arial" w:hAnsi="Arial" w:cs="Arial"/>
          <w:b/>
          <w:color w:val="000000" w:themeColor="text1"/>
          <w:sz w:val="28"/>
          <w:lang w:val="es-CO"/>
        </w:rPr>
        <w:tab/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814311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del mes de enero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2022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participaciones Federales Participaciones Estatales, Aportaciones Federales y Aportaciones Estatales del área de CPH. </w:t>
      </w:r>
    </w:p>
    <w:p w:rsidR="003421BE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continuó con el flujo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de aprobaciones desde el perfil analista hasta el perfil coordinador 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de CPH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y se encuentra del lado del área de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>DAMOP para continuar con el flujo de aprobaciones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 y cálculo de operaciones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2B3411" w:rsidRDefault="002B341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inició la configuración del cálculo del mes de febrero 2022 del área CPH.</w:t>
      </w:r>
    </w:p>
    <w:p w:rsidR="00BA30E6" w:rsidRDefault="00BA30E6" w:rsidP="00BA30E6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entregó el acceso al usuario analista Verónica Cárdenas Medina de DAMOP en QA, para que inicien con sus procesos, a partir de la información proporcionada por CPH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14311" w:rsidRPr="00814311" w:rsidRDefault="00814311" w:rsidP="008143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DAMOP.</w:t>
      </w:r>
    </w:p>
    <w:p w:rsidR="00E749A1" w:rsidRDefault="00BA30E6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generado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webservice para consultar y generar información desde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PDRMyE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modificó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maqueta del módulo Municipios para mostrar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a los 51 Municipios de NL la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que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pondrán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consultar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municipios.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deploy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QA en el código para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backend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SFyTGE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</w:t>
      </w:r>
      <w:r w:rsidR="00823DFF" w:rsidRPr="00823DFF">
        <w:rPr>
          <w:rFonts w:ascii="Arial" w:hAnsi="Arial" w:cs="Arial"/>
          <w:b/>
          <w:color w:val="000000" w:themeColor="text1"/>
          <w:sz w:val="28"/>
          <w:lang w:val="es-CO"/>
        </w:rPr>
        <w:t>Developer Backend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2E323D" w:rsidRPr="008B32D9" w:rsidTr="004A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FA6386" w:rsidRPr="00BF7BFC" w:rsidRDefault="00174CE8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Instalación y configuración de servidor de </w:t>
            </w:r>
            <w:r w:rsidR="00A72CAB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Monitoreo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para ambiente de Desarrollo , QA y producción </w:t>
            </w:r>
          </w:p>
        </w:tc>
        <w:tc>
          <w:tcPr>
            <w:tcW w:w="2127" w:type="dxa"/>
            <w:noWrap/>
            <w:hideMark/>
          </w:tcPr>
          <w:p w:rsidR="00FA6386" w:rsidRPr="00423135" w:rsidRDefault="009C0028" w:rsidP="00F7798E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294">
              <w:rPr>
                <w:rFonts w:ascii="Arial" w:hAnsi="Arial" w:cs="Arial"/>
                <w:lang w:val="en-US"/>
              </w:rPr>
              <w:t xml:space="preserve">Developer Backend </w:t>
            </w:r>
          </w:p>
        </w:tc>
      </w:tr>
      <w:tr w:rsidR="00A72CAB" w:rsidRPr="008B32D9" w:rsidTr="004A07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A72CAB" w:rsidRPr="003A24DD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A72CAB" w:rsidRDefault="00A72CAB" w:rsidP="00A72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Planeación y gestión de Reuniones los lunes con el equipo para revisión de los avances del proyecto</w:t>
            </w:r>
          </w:p>
        </w:tc>
        <w:tc>
          <w:tcPr>
            <w:tcW w:w="2127" w:type="dxa"/>
            <w:noWrap/>
            <w:hideMark/>
          </w:tcPr>
          <w:p w:rsidR="00A72CAB" w:rsidRDefault="00A72CAB" w:rsidP="00A72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Pr="003A24DD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A72CAB" w:rsidRDefault="00A72CAB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Apoyo en soporte Técnico a usuarios de CPH</w:t>
            </w:r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9404AF" w:rsidRPr="008B32D9" w:rsidTr="004A07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404AF" w:rsidRDefault="009404AF" w:rsidP="009404AF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9404AF" w:rsidRDefault="009404AF" w:rsidP="00940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Apoyo en soporte Técnico a usuarios de DAMOP</w:t>
            </w:r>
          </w:p>
        </w:tc>
        <w:tc>
          <w:tcPr>
            <w:tcW w:w="2127" w:type="dxa"/>
            <w:noWrap/>
          </w:tcPr>
          <w:p w:rsidR="009404AF" w:rsidRPr="005C6393" w:rsidRDefault="009404AF" w:rsidP="00940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9404AF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404AF" w:rsidRDefault="009404AF" w:rsidP="009404AF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  <w:p w:rsidR="009404AF" w:rsidRPr="003A24DD" w:rsidRDefault="009404AF" w:rsidP="009404AF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</w:p>
        </w:tc>
        <w:tc>
          <w:tcPr>
            <w:tcW w:w="5895" w:type="dxa"/>
          </w:tcPr>
          <w:p w:rsidR="009404AF" w:rsidRDefault="009404AF" w:rsidP="009404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Generación de Respaldos de Base de datos Productiva</w:t>
            </w:r>
          </w:p>
          <w:p w:rsidR="009404AF" w:rsidRDefault="009404AF" w:rsidP="009404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Esquema: PDRMYE</w:t>
            </w:r>
          </w:p>
          <w:p w:rsidR="009404AF" w:rsidRDefault="009404AF" w:rsidP="009404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BD:</w:t>
            </w:r>
            <w:r>
              <w:t xml:space="preserve"> </w:t>
            </w:r>
            <w:r w:rsidRPr="00A72CAB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10.210.0.29</w:t>
            </w:r>
          </w:p>
        </w:tc>
        <w:tc>
          <w:tcPr>
            <w:tcW w:w="2127" w:type="dxa"/>
            <w:noWrap/>
          </w:tcPr>
          <w:p w:rsidR="009404AF" w:rsidRDefault="009404AF" w:rsidP="00940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9404AF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404AF" w:rsidRPr="003A24DD" w:rsidRDefault="009404AF" w:rsidP="009404AF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9404AF" w:rsidRDefault="009404AF" w:rsidP="00940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 w:rsidR="00412E39" w:rsidRPr="0023298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Limpieza</w:t>
            </w:r>
            <w:r w:rsidRPr="0023298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base de datos de desarrollo eliminación de objetos no utilizados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  <w:p w:rsidR="009404AF" w:rsidRDefault="009404AF" w:rsidP="00940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Esquema: PDRMYE</w:t>
            </w:r>
          </w:p>
          <w:p w:rsidR="009404AF" w:rsidRPr="002F5DC5" w:rsidRDefault="009404AF" w:rsidP="00940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BD:</w:t>
            </w:r>
            <w:r>
              <w:t xml:space="preserve"> </w:t>
            </w:r>
            <w:r w:rsidRPr="00A72CAB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10.210.0.29</w:t>
            </w:r>
          </w:p>
        </w:tc>
        <w:tc>
          <w:tcPr>
            <w:tcW w:w="2127" w:type="dxa"/>
            <w:noWrap/>
          </w:tcPr>
          <w:p w:rsidR="009404AF" w:rsidRDefault="009404AF" w:rsidP="00940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9404AF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404AF" w:rsidRPr="004A07D9" w:rsidRDefault="009404AF" w:rsidP="009404AF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9404AF" w:rsidRDefault="009404AF" w:rsidP="009404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Elaboración y Revisión de Requerimientos para solicitar a SIREGOB los  servicios necesarios para la integración con la plataforma de distribución de Recursos</w:t>
            </w:r>
          </w:p>
        </w:tc>
        <w:tc>
          <w:tcPr>
            <w:tcW w:w="2127" w:type="dxa"/>
            <w:noWrap/>
          </w:tcPr>
          <w:p w:rsidR="009404AF" w:rsidRDefault="009404AF" w:rsidP="00940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9404AF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404AF" w:rsidRDefault="009404AF" w:rsidP="009404AF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9404AF" w:rsidRDefault="009404AF" w:rsidP="00940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Pruebas de Aplicación para Gestión y control de Archivos mediante servicios Rest</w:t>
            </w:r>
          </w:p>
        </w:tc>
        <w:tc>
          <w:tcPr>
            <w:tcW w:w="2127" w:type="dxa"/>
            <w:noWrap/>
          </w:tcPr>
          <w:p w:rsidR="009404AF" w:rsidRDefault="009404AF" w:rsidP="00940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9404AF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404AF" w:rsidRPr="008C37D7" w:rsidRDefault="009404AF" w:rsidP="009404AF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9404AF" w:rsidRDefault="009404AF" w:rsidP="009404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Diseño y análisis de Reportes solicitados por el área de Coordinación de Planeación Hacendaria</w:t>
            </w:r>
          </w:p>
        </w:tc>
        <w:tc>
          <w:tcPr>
            <w:tcW w:w="2127" w:type="dxa"/>
            <w:noWrap/>
          </w:tcPr>
          <w:p w:rsidR="009404AF" w:rsidRDefault="009404AF" w:rsidP="00940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9404AF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404AF" w:rsidRDefault="009404AF" w:rsidP="009404AF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11</w:t>
            </w:r>
          </w:p>
        </w:tc>
        <w:tc>
          <w:tcPr>
            <w:tcW w:w="5895" w:type="dxa"/>
          </w:tcPr>
          <w:p w:rsidR="009404AF" w:rsidRDefault="009404AF" w:rsidP="00940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 Monitoreo para la base de datos</w:t>
            </w:r>
          </w:p>
          <w:p w:rsidR="009404AF" w:rsidRDefault="009404AF" w:rsidP="00940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Ambiente Desarrollo</w:t>
            </w:r>
          </w:p>
          <w:p w:rsidR="009404AF" w:rsidRDefault="009404AF" w:rsidP="00940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Ambiente QA</w:t>
            </w:r>
          </w:p>
          <w:p w:rsidR="009404AF" w:rsidRDefault="009404AF" w:rsidP="00940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Ambiente Producción</w:t>
            </w:r>
          </w:p>
        </w:tc>
        <w:tc>
          <w:tcPr>
            <w:tcW w:w="2127" w:type="dxa"/>
            <w:noWrap/>
          </w:tcPr>
          <w:p w:rsidR="009404AF" w:rsidRDefault="009404AF" w:rsidP="00940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9404AF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404AF" w:rsidRDefault="009404AF" w:rsidP="009404AF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12</w:t>
            </w:r>
          </w:p>
        </w:tc>
        <w:tc>
          <w:tcPr>
            <w:tcW w:w="5895" w:type="dxa"/>
          </w:tcPr>
          <w:p w:rsidR="009404AF" w:rsidRDefault="009404AF" w:rsidP="009404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Desarrollo y configuración de tareas para el despliegue en automática de la aplicación de gestión de documentos en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jenkins</w:t>
            </w:r>
            <w:proofErr w:type="spellEnd"/>
          </w:p>
        </w:tc>
        <w:tc>
          <w:tcPr>
            <w:tcW w:w="2127" w:type="dxa"/>
            <w:noWrap/>
          </w:tcPr>
          <w:p w:rsidR="009404AF" w:rsidRDefault="009404AF" w:rsidP="00940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9404AF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404AF" w:rsidRDefault="009404AF" w:rsidP="009404AF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lastRenderedPageBreak/>
              <w:t>13</w:t>
            </w:r>
          </w:p>
        </w:tc>
        <w:tc>
          <w:tcPr>
            <w:tcW w:w="5895" w:type="dxa"/>
          </w:tcPr>
          <w:p w:rsidR="009404AF" w:rsidRDefault="009404AF" w:rsidP="00940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Ajustes a Módulo de DAF </w:t>
            </w:r>
            <w:r w:rsidR="00133C8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para subir archivos de forma múltiple</w:t>
            </w:r>
          </w:p>
        </w:tc>
        <w:tc>
          <w:tcPr>
            <w:tcW w:w="2127" w:type="dxa"/>
            <w:noWrap/>
          </w:tcPr>
          <w:p w:rsidR="009404AF" w:rsidRDefault="00133C84" w:rsidP="00940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133C84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133C84" w:rsidRDefault="00133C84" w:rsidP="00133C84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14</w:t>
            </w:r>
          </w:p>
        </w:tc>
        <w:tc>
          <w:tcPr>
            <w:tcW w:w="5895" w:type="dxa"/>
          </w:tcPr>
          <w:p w:rsidR="00133C84" w:rsidRDefault="00133C84" w:rsidP="00133C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Administración de actualizaciones a producción para la plataforma de distribuciones</w:t>
            </w:r>
          </w:p>
        </w:tc>
        <w:tc>
          <w:tcPr>
            <w:tcW w:w="2127" w:type="dxa"/>
            <w:noWrap/>
          </w:tcPr>
          <w:p w:rsidR="00133C84" w:rsidRDefault="00133C84" w:rsidP="00133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133C84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133C84" w:rsidRDefault="00133C84" w:rsidP="00133C84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15</w:t>
            </w:r>
          </w:p>
        </w:tc>
        <w:tc>
          <w:tcPr>
            <w:tcW w:w="5895" w:type="dxa"/>
          </w:tcPr>
          <w:p w:rsidR="00133C84" w:rsidRDefault="00133C84" w:rsidP="00133C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Desarrollo de Componente para la visualización de las guías </w:t>
            </w:r>
            <w:r w:rsidR="00412E3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rápidas</w:t>
            </w:r>
          </w:p>
        </w:tc>
        <w:tc>
          <w:tcPr>
            <w:tcW w:w="2127" w:type="dxa"/>
            <w:noWrap/>
          </w:tcPr>
          <w:p w:rsidR="00133C84" w:rsidRPr="005C6393" w:rsidRDefault="00133C84" w:rsidP="00133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412E39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12E39" w:rsidRDefault="00412E39" w:rsidP="00412E39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16</w:t>
            </w:r>
          </w:p>
        </w:tc>
        <w:tc>
          <w:tcPr>
            <w:tcW w:w="5895" w:type="dxa"/>
          </w:tcPr>
          <w:p w:rsidR="00412E39" w:rsidRDefault="00412E39" w:rsidP="00412E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Migración de equipo de Computo</w:t>
            </w:r>
          </w:p>
        </w:tc>
        <w:tc>
          <w:tcPr>
            <w:tcW w:w="2127" w:type="dxa"/>
            <w:noWrap/>
          </w:tcPr>
          <w:p w:rsidR="00412E39" w:rsidRPr="005C6393" w:rsidRDefault="00412E39" w:rsidP="00412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412E39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12E39" w:rsidRDefault="00412E39" w:rsidP="00412E39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17</w:t>
            </w:r>
          </w:p>
        </w:tc>
        <w:tc>
          <w:tcPr>
            <w:tcW w:w="5895" w:type="dxa"/>
          </w:tcPr>
          <w:p w:rsidR="00412E39" w:rsidRDefault="00412E39" w:rsidP="00412E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Análisis de Sistema SIREGOB Para el Desarrollo de Requerimientos de interconexión</w:t>
            </w:r>
          </w:p>
        </w:tc>
        <w:tc>
          <w:tcPr>
            <w:tcW w:w="2127" w:type="dxa"/>
            <w:noWrap/>
          </w:tcPr>
          <w:p w:rsidR="00412E39" w:rsidRPr="005C6393" w:rsidRDefault="00412E39" w:rsidP="00412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</w:tbl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bookmarkStart w:id="4" w:name="_GoBack"/>
      <w:bookmarkEnd w:id="4"/>
    </w:p>
    <w:p w:rsidR="002F62DA" w:rsidRDefault="002F62DA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2F62DA" w:rsidRDefault="002F62DA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9C0028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>Imágenes</w:t>
      </w:r>
    </w:p>
    <w:p w:rsidR="009C0028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 xml:space="preserve">Instalación de </w:t>
      </w:r>
      <w:r w:rsidR="00A72CAB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>Monitoreo</w:t>
      </w:r>
    </w:p>
    <w:p w:rsidR="009C0028" w:rsidRDefault="00A72CAB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A72CAB">
        <w:rPr>
          <w:rFonts w:ascii="Arial" w:eastAsiaTheme="majorEastAsia" w:hAnsi="Arial" w:cs="Arial"/>
          <w:b/>
          <w:noProof/>
          <w:color w:val="000000" w:themeColor="text1"/>
          <w:sz w:val="24"/>
          <w:szCs w:val="32"/>
          <w:lang w:eastAsia="es-ES"/>
        </w:rPr>
        <w:lastRenderedPageBreak/>
        <w:drawing>
          <wp:inline distT="0" distB="0" distL="0" distR="0" wp14:anchorId="7B1C00A1" wp14:editId="221108E3">
            <wp:extent cx="5612130" cy="30473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D1" w:rsidRDefault="00517ED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2164C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E4E7D" w:rsidRDefault="003D1261" w:rsidP="00027871">
      <w:pPr>
        <w:rPr>
          <w:lang w:val="es-CO"/>
        </w:rPr>
      </w:pPr>
      <w:r w:rsidRPr="003D1261">
        <w:rPr>
          <w:noProof/>
          <w:lang w:eastAsia="es-ES"/>
        </w:rPr>
        <w:drawing>
          <wp:inline distT="0" distB="0" distL="0" distR="0" wp14:anchorId="6DC0E104" wp14:editId="721052A4">
            <wp:extent cx="5612130" cy="27724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7D" w:rsidRDefault="003E4E7D" w:rsidP="00027871">
      <w:pPr>
        <w:rPr>
          <w:lang w:val="es-CO"/>
        </w:rPr>
      </w:pPr>
    </w:p>
    <w:p w:rsidR="003E4E7D" w:rsidRPr="00027871" w:rsidRDefault="003E4E7D" w:rsidP="00027871">
      <w:pPr>
        <w:rPr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A2E" w:rsidRDefault="000C0A2E" w:rsidP="00423135">
      <w:pPr>
        <w:spacing w:after="0" w:line="240" w:lineRule="auto"/>
      </w:pPr>
      <w:r>
        <w:separator/>
      </w:r>
    </w:p>
  </w:endnote>
  <w:endnote w:type="continuationSeparator" w:id="0">
    <w:p w:rsidR="000C0A2E" w:rsidRDefault="000C0A2E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A2E" w:rsidRDefault="000C0A2E" w:rsidP="00423135">
      <w:pPr>
        <w:spacing w:after="0" w:line="240" w:lineRule="auto"/>
      </w:pPr>
      <w:r>
        <w:separator/>
      </w:r>
    </w:p>
  </w:footnote>
  <w:footnote w:type="continuationSeparator" w:id="0">
    <w:p w:rsidR="000C0A2E" w:rsidRDefault="000C0A2E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334C43" w:rsidP="00206908">
          <w:pPr>
            <w:pStyle w:val="Encabezado"/>
            <w:rPr>
              <w:rFonts w:ascii="Arial" w:hAnsi="Arial" w:cs="Arial"/>
            </w:rPr>
          </w:pPr>
          <w:r w:rsidRPr="00BA6F4E">
            <w:rPr>
              <w:rFonts w:ascii="Arial" w:hAnsi="Arial" w:cs="Arial"/>
            </w:rPr>
            <w:t xml:space="preserve">Plataforma de Distribución de Recursos a Municipios y Organismos Paraestatales </w:t>
          </w:r>
          <w:r w:rsidRPr="00423135"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PDRMyOP</w:t>
          </w:r>
          <w:proofErr w:type="spellEnd"/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eastAsia="es-ES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3E6081" w:rsidP="00286811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Marzo</w:t>
          </w:r>
          <w:r w:rsidR="000C60BA">
            <w:rPr>
              <w:rFonts w:ascii="Arial" w:hAnsi="Arial" w:cs="Arial"/>
            </w:rPr>
            <w:t xml:space="preserve"> </w:t>
          </w:r>
          <w:r w:rsidR="000C60BA" w:rsidRPr="00423135">
            <w:rPr>
              <w:rFonts w:ascii="Arial" w:hAnsi="Arial" w:cs="Arial"/>
            </w:rPr>
            <w:t>202</w:t>
          </w:r>
          <w:r w:rsidR="00286811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9C0028" w:rsidTr="00D65DD1">
      <w:tc>
        <w:tcPr>
          <w:tcW w:w="2706" w:type="dxa"/>
          <w:vMerge/>
        </w:tcPr>
        <w:p w:rsidR="009C0028" w:rsidRDefault="009C0028" w:rsidP="009C0028">
          <w:pPr>
            <w:pStyle w:val="Encabezado"/>
          </w:pPr>
        </w:p>
      </w:tc>
      <w:tc>
        <w:tcPr>
          <w:tcW w:w="1707" w:type="dxa"/>
        </w:tcPr>
        <w:p w:rsidR="009C0028" w:rsidRPr="00423135" w:rsidRDefault="00334C43" w:rsidP="009C002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9C0028" w:rsidRPr="00423135" w:rsidRDefault="0088378B" w:rsidP="0088378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Developer</w:t>
          </w:r>
          <w:r w:rsidR="009C0028" w:rsidRPr="00AD006C">
            <w:rPr>
              <w:rFonts w:ascii="Arial" w:hAnsi="Arial" w:cs="Arial"/>
            </w:rPr>
            <w:t xml:space="preserve"> Backend </w:t>
          </w:r>
        </w:p>
      </w:tc>
      <w:tc>
        <w:tcPr>
          <w:tcW w:w="3156" w:type="dxa"/>
          <w:vMerge/>
        </w:tcPr>
        <w:p w:rsidR="009C0028" w:rsidRDefault="009C0028" w:rsidP="009C0028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412E39" w:rsidRPr="00412E39">
            <w:rPr>
              <w:rFonts w:ascii="Arial" w:hAnsi="Arial" w:cs="Arial"/>
              <w:bCs/>
              <w:noProof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412E39" w:rsidRPr="00412E39">
            <w:rPr>
              <w:rFonts w:ascii="Arial" w:eastAsia="MS Mincho" w:hAnsi="Arial" w:cs="Arial"/>
              <w:bCs/>
              <w:noProof/>
              <w:lang w:eastAsia="es-ES"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36844"/>
    <w:rsid w:val="00042EB4"/>
    <w:rsid w:val="00046B48"/>
    <w:rsid w:val="00054F73"/>
    <w:rsid w:val="00056CC3"/>
    <w:rsid w:val="00064292"/>
    <w:rsid w:val="00084CAC"/>
    <w:rsid w:val="0009151D"/>
    <w:rsid w:val="00096482"/>
    <w:rsid w:val="000A15CA"/>
    <w:rsid w:val="000A15DE"/>
    <w:rsid w:val="000A35F0"/>
    <w:rsid w:val="000C0A2E"/>
    <w:rsid w:val="000C1ED7"/>
    <w:rsid w:val="000C2CDD"/>
    <w:rsid w:val="000C60BA"/>
    <w:rsid w:val="000D724E"/>
    <w:rsid w:val="000E19B8"/>
    <w:rsid w:val="000E31CC"/>
    <w:rsid w:val="000F04C8"/>
    <w:rsid w:val="000F1A79"/>
    <w:rsid w:val="00116B07"/>
    <w:rsid w:val="001304DF"/>
    <w:rsid w:val="00132335"/>
    <w:rsid w:val="00132ADC"/>
    <w:rsid w:val="00133C84"/>
    <w:rsid w:val="0015330A"/>
    <w:rsid w:val="00174CE8"/>
    <w:rsid w:val="00177031"/>
    <w:rsid w:val="00194F56"/>
    <w:rsid w:val="001950E2"/>
    <w:rsid w:val="001961F1"/>
    <w:rsid w:val="001A15F7"/>
    <w:rsid w:val="001B16D1"/>
    <w:rsid w:val="001B171D"/>
    <w:rsid w:val="001B5CD0"/>
    <w:rsid w:val="001B6A1C"/>
    <w:rsid w:val="001C590A"/>
    <w:rsid w:val="001D1B83"/>
    <w:rsid w:val="001D29A8"/>
    <w:rsid w:val="001E6321"/>
    <w:rsid w:val="001E7877"/>
    <w:rsid w:val="002056BE"/>
    <w:rsid w:val="00206908"/>
    <w:rsid w:val="002100F7"/>
    <w:rsid w:val="002308FE"/>
    <w:rsid w:val="00231149"/>
    <w:rsid w:val="00232981"/>
    <w:rsid w:val="0024632E"/>
    <w:rsid w:val="0025498B"/>
    <w:rsid w:val="0026091C"/>
    <w:rsid w:val="00262035"/>
    <w:rsid w:val="002709C0"/>
    <w:rsid w:val="002757D2"/>
    <w:rsid w:val="00280483"/>
    <w:rsid w:val="00282144"/>
    <w:rsid w:val="00286811"/>
    <w:rsid w:val="002902C5"/>
    <w:rsid w:val="002A0261"/>
    <w:rsid w:val="002B2E11"/>
    <w:rsid w:val="002B3411"/>
    <w:rsid w:val="002B4A46"/>
    <w:rsid w:val="002C080C"/>
    <w:rsid w:val="002C3031"/>
    <w:rsid w:val="002C3F01"/>
    <w:rsid w:val="002D4C90"/>
    <w:rsid w:val="002D72DE"/>
    <w:rsid w:val="002E05AC"/>
    <w:rsid w:val="002E323D"/>
    <w:rsid w:val="002F5DC5"/>
    <w:rsid w:val="002F62DA"/>
    <w:rsid w:val="00302255"/>
    <w:rsid w:val="00307EDF"/>
    <w:rsid w:val="003134A8"/>
    <w:rsid w:val="0032164C"/>
    <w:rsid w:val="00334C43"/>
    <w:rsid w:val="003402EE"/>
    <w:rsid w:val="003421BE"/>
    <w:rsid w:val="003434A2"/>
    <w:rsid w:val="00355291"/>
    <w:rsid w:val="00372A66"/>
    <w:rsid w:val="00372F80"/>
    <w:rsid w:val="00384107"/>
    <w:rsid w:val="00391EA5"/>
    <w:rsid w:val="00393560"/>
    <w:rsid w:val="00395323"/>
    <w:rsid w:val="003A24DD"/>
    <w:rsid w:val="003A6468"/>
    <w:rsid w:val="003A7148"/>
    <w:rsid w:val="003B0B73"/>
    <w:rsid w:val="003D1261"/>
    <w:rsid w:val="003D4D99"/>
    <w:rsid w:val="003D531A"/>
    <w:rsid w:val="003D5BB4"/>
    <w:rsid w:val="003E4E7D"/>
    <w:rsid w:val="003E6081"/>
    <w:rsid w:val="003F57E4"/>
    <w:rsid w:val="00402D30"/>
    <w:rsid w:val="00407304"/>
    <w:rsid w:val="00410009"/>
    <w:rsid w:val="00412E3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38EA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17ED1"/>
    <w:rsid w:val="00523EF9"/>
    <w:rsid w:val="0054619D"/>
    <w:rsid w:val="00547FA2"/>
    <w:rsid w:val="00551ECB"/>
    <w:rsid w:val="00556876"/>
    <w:rsid w:val="005B0241"/>
    <w:rsid w:val="005D2304"/>
    <w:rsid w:val="005E2B19"/>
    <w:rsid w:val="005F2CC3"/>
    <w:rsid w:val="005F5D72"/>
    <w:rsid w:val="006020FB"/>
    <w:rsid w:val="00602E59"/>
    <w:rsid w:val="00604DE9"/>
    <w:rsid w:val="00617AF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3A54"/>
    <w:rsid w:val="006740D2"/>
    <w:rsid w:val="00695939"/>
    <w:rsid w:val="00695BA9"/>
    <w:rsid w:val="006A3EFF"/>
    <w:rsid w:val="006A548F"/>
    <w:rsid w:val="006A58C0"/>
    <w:rsid w:val="006B5AFE"/>
    <w:rsid w:val="006C07C2"/>
    <w:rsid w:val="006C3B39"/>
    <w:rsid w:val="006D565E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50F32"/>
    <w:rsid w:val="00751DBE"/>
    <w:rsid w:val="00773CC2"/>
    <w:rsid w:val="0078363D"/>
    <w:rsid w:val="007847F7"/>
    <w:rsid w:val="00794AD0"/>
    <w:rsid w:val="0079518E"/>
    <w:rsid w:val="007A07D0"/>
    <w:rsid w:val="007B326F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3DFF"/>
    <w:rsid w:val="00827AD7"/>
    <w:rsid w:val="008309A8"/>
    <w:rsid w:val="008310EF"/>
    <w:rsid w:val="00841AC1"/>
    <w:rsid w:val="00845115"/>
    <w:rsid w:val="00866D00"/>
    <w:rsid w:val="008769ED"/>
    <w:rsid w:val="00880052"/>
    <w:rsid w:val="0088378B"/>
    <w:rsid w:val="0088609F"/>
    <w:rsid w:val="00887352"/>
    <w:rsid w:val="00887F96"/>
    <w:rsid w:val="00892364"/>
    <w:rsid w:val="00895D2B"/>
    <w:rsid w:val="00897CA2"/>
    <w:rsid w:val="008A193B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4A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B686F"/>
    <w:rsid w:val="009C0028"/>
    <w:rsid w:val="009C66F1"/>
    <w:rsid w:val="009D5C04"/>
    <w:rsid w:val="009D6BFF"/>
    <w:rsid w:val="009D72FB"/>
    <w:rsid w:val="009E067C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2CAB"/>
    <w:rsid w:val="00A75F0B"/>
    <w:rsid w:val="00A915E2"/>
    <w:rsid w:val="00A93260"/>
    <w:rsid w:val="00A94238"/>
    <w:rsid w:val="00A9558C"/>
    <w:rsid w:val="00AA22AC"/>
    <w:rsid w:val="00AA6F67"/>
    <w:rsid w:val="00AB753D"/>
    <w:rsid w:val="00AC26DB"/>
    <w:rsid w:val="00AC6BE1"/>
    <w:rsid w:val="00AD3A95"/>
    <w:rsid w:val="00AE3FB9"/>
    <w:rsid w:val="00B07737"/>
    <w:rsid w:val="00B2321C"/>
    <w:rsid w:val="00B27421"/>
    <w:rsid w:val="00B4259B"/>
    <w:rsid w:val="00B45D3F"/>
    <w:rsid w:val="00B67098"/>
    <w:rsid w:val="00B72FF4"/>
    <w:rsid w:val="00B7349E"/>
    <w:rsid w:val="00B75B32"/>
    <w:rsid w:val="00B76349"/>
    <w:rsid w:val="00BA2D77"/>
    <w:rsid w:val="00BA30E6"/>
    <w:rsid w:val="00BC09F3"/>
    <w:rsid w:val="00BF7BFC"/>
    <w:rsid w:val="00C00278"/>
    <w:rsid w:val="00C109ED"/>
    <w:rsid w:val="00C21076"/>
    <w:rsid w:val="00C244F0"/>
    <w:rsid w:val="00C3177F"/>
    <w:rsid w:val="00C36887"/>
    <w:rsid w:val="00C43B15"/>
    <w:rsid w:val="00C45A50"/>
    <w:rsid w:val="00C463C2"/>
    <w:rsid w:val="00C47FA5"/>
    <w:rsid w:val="00C77BD0"/>
    <w:rsid w:val="00C77EDC"/>
    <w:rsid w:val="00C80407"/>
    <w:rsid w:val="00C929FC"/>
    <w:rsid w:val="00C9385C"/>
    <w:rsid w:val="00C9516C"/>
    <w:rsid w:val="00C95470"/>
    <w:rsid w:val="00CA43E7"/>
    <w:rsid w:val="00CC4A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13021"/>
    <w:rsid w:val="00D20401"/>
    <w:rsid w:val="00D21AB5"/>
    <w:rsid w:val="00D2519B"/>
    <w:rsid w:val="00D253CF"/>
    <w:rsid w:val="00D360D5"/>
    <w:rsid w:val="00D37411"/>
    <w:rsid w:val="00D41ACA"/>
    <w:rsid w:val="00D42032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05D0"/>
    <w:rsid w:val="00D91120"/>
    <w:rsid w:val="00D9232A"/>
    <w:rsid w:val="00D92964"/>
    <w:rsid w:val="00D937B0"/>
    <w:rsid w:val="00DA1639"/>
    <w:rsid w:val="00DA2358"/>
    <w:rsid w:val="00DA2FDB"/>
    <w:rsid w:val="00DA3D34"/>
    <w:rsid w:val="00DA4AF4"/>
    <w:rsid w:val="00DC0042"/>
    <w:rsid w:val="00DD35E6"/>
    <w:rsid w:val="00DD43FC"/>
    <w:rsid w:val="00DE4EC3"/>
    <w:rsid w:val="00E043ED"/>
    <w:rsid w:val="00E224EF"/>
    <w:rsid w:val="00E32BC4"/>
    <w:rsid w:val="00E332EA"/>
    <w:rsid w:val="00E33682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D1483"/>
    <w:rsid w:val="00EE2E1B"/>
    <w:rsid w:val="00EF7A27"/>
    <w:rsid w:val="00F02A8F"/>
    <w:rsid w:val="00F32611"/>
    <w:rsid w:val="00F35F45"/>
    <w:rsid w:val="00F570B1"/>
    <w:rsid w:val="00F7798E"/>
    <w:rsid w:val="00F96571"/>
    <w:rsid w:val="00FA6386"/>
    <w:rsid w:val="00FB0BD7"/>
    <w:rsid w:val="00FB1033"/>
    <w:rsid w:val="00FB12B0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39F29-29EA-4C97-8C2B-5292F3136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9350</TotalTime>
  <Pages>10</Pages>
  <Words>1180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ADOLFO ANGEL GARCIA</cp:lastModifiedBy>
  <cp:revision>491</cp:revision>
  <cp:lastPrinted>2022-05-25T20:51:00Z</cp:lastPrinted>
  <dcterms:created xsi:type="dcterms:W3CDTF">2022-05-04T21:58:00Z</dcterms:created>
  <dcterms:modified xsi:type="dcterms:W3CDTF">2023-03-29T23:05:00Z</dcterms:modified>
</cp:coreProperties>
</file>