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C05F24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Enero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C05F24">
        <w:rPr>
          <w:rFonts w:ascii="Arial" w:eastAsia="Arial" w:hAnsi="Arial" w:cs="Arial"/>
          <w:color w:val="000000"/>
          <w:sz w:val="20"/>
          <w:szCs w:val="20"/>
        </w:rPr>
        <w:t>31 de enero,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C05F24">
        <w:rPr>
          <w:rFonts w:ascii="Arial" w:eastAsia="Arial" w:hAnsi="Arial" w:cs="Arial"/>
          <w:color w:val="000000"/>
          <w:sz w:val="20"/>
          <w:szCs w:val="20"/>
        </w:rPr>
        <w:t>31 de enero,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4A07FB" w:rsidRDefault="004A07FB">
      <w:pPr>
        <w:rPr>
          <w:rFonts w:ascii="Arial" w:eastAsia="Arial" w:hAnsi="Arial" w:cs="Arial"/>
          <w:color w:val="000000"/>
          <w:sz w:val="24"/>
          <w:szCs w:val="24"/>
        </w:rPr>
      </w:pPr>
      <w:r w:rsidRPr="004A07FB">
        <w:rPr>
          <w:rFonts w:ascii="Arial" w:eastAsia="Arial" w:hAnsi="Arial" w:cs="Arial"/>
          <w:color w:val="000000"/>
          <w:sz w:val="24"/>
          <w:szCs w:val="24"/>
        </w:rPr>
        <w:t>Resumen de actividades de incidencias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:rsidR="003045DC" w:rsidRDefault="00B6113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 Pruebas CPH enero- diciembre 2022</w:t>
      </w:r>
    </w:p>
    <w:p w:rsidR="00214B09" w:rsidRDefault="00B6113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B6113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096F4EC9" wp14:editId="4CCA7380">
            <wp:extent cx="5612130" cy="30746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9953A5" w:rsidRDefault="009953A5" w:rsidP="003045DC">
      <w:pPr>
        <w:rPr>
          <w:rFonts w:ascii="Arial" w:hAnsi="Arial" w:cs="Arial"/>
          <w:b/>
          <w:bCs/>
          <w:iCs/>
          <w:sz w:val="20"/>
          <w:lang w:val="es-MX"/>
        </w:rPr>
      </w:pPr>
    </w:p>
    <w:p w:rsidR="007B26B5" w:rsidRDefault="00A3678D" w:rsidP="003045DC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lang w:val="es-MX"/>
        </w:rPr>
        <w:lastRenderedPageBreak/>
        <w:t xml:space="preserve">2 </w:t>
      </w:r>
      <w:r w:rsidR="003045DC" w:rsidRPr="00584F22">
        <w:rPr>
          <w:rFonts w:ascii="Arial" w:hAnsi="Arial" w:cs="Arial"/>
          <w:b/>
          <w:bCs/>
          <w:iCs/>
          <w:sz w:val="20"/>
          <w:lang w:val="es-MX"/>
        </w:rPr>
        <w:t>Pruebas DAMOP</w:t>
      </w:r>
      <w:r w:rsidR="003045DC">
        <w:rPr>
          <w:rFonts w:ascii="Arial" w:hAnsi="Arial" w:cs="Arial"/>
          <w:bCs/>
          <w:iCs/>
          <w:sz w:val="20"/>
          <w:lang w:val="es-MX"/>
        </w:rPr>
        <w:t xml:space="preserve"> Catálogos realizadas; quedando pendiente Participaciones y aportaciones al igual que Resumen de transferencias.</w:t>
      </w:r>
    </w:p>
    <w:p w:rsidR="007B26B5" w:rsidRDefault="003045DC" w:rsidP="004A07FB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5CACE62D" wp14:editId="2C8BD6F7">
            <wp:extent cx="5612130" cy="6889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8D" w:rsidRDefault="00A3678D" w:rsidP="004A07FB">
      <w:pPr>
        <w:rPr>
          <w:rFonts w:ascii="Arial" w:eastAsia="Arial" w:hAnsi="Arial" w:cs="Arial"/>
          <w:sz w:val="20"/>
          <w:szCs w:val="20"/>
        </w:rPr>
      </w:pPr>
    </w:p>
    <w:p w:rsidR="007B26B5" w:rsidRDefault="00A3678D" w:rsidP="004A07FB">
      <w:pPr>
        <w:rPr>
          <w:rFonts w:ascii="Arial" w:hAnsi="Arial" w:cs="Arial"/>
          <w:bCs/>
          <w:iCs/>
          <w:sz w:val="20"/>
          <w:lang w:val="es-MX"/>
        </w:rPr>
      </w:pPr>
      <w:r w:rsidRPr="009953A5">
        <w:rPr>
          <w:rFonts w:ascii="Arial" w:eastAsia="Arial" w:hAnsi="Arial" w:cs="Arial"/>
          <w:b/>
          <w:sz w:val="20"/>
          <w:szCs w:val="20"/>
        </w:rPr>
        <w:t xml:space="preserve">3 </w:t>
      </w:r>
      <w:r w:rsidRPr="009953A5">
        <w:rPr>
          <w:rFonts w:ascii="Arial" w:hAnsi="Arial" w:cs="Arial"/>
          <w:b/>
          <w:bCs/>
          <w:iCs/>
          <w:sz w:val="20"/>
          <w:lang w:val="es-MX"/>
        </w:rPr>
        <w:t>Se instaló Jira</w:t>
      </w:r>
      <w:r>
        <w:rPr>
          <w:rFonts w:ascii="Arial" w:hAnsi="Arial" w:cs="Arial"/>
          <w:bCs/>
          <w:iCs/>
          <w:sz w:val="20"/>
          <w:lang w:val="es-MX"/>
        </w:rPr>
        <w:t xml:space="preserve"> plataforma donde se lleva un registro de las actividades a realizar, en proceso y actividades finalizadas.</w:t>
      </w:r>
    </w:p>
    <w:p w:rsidR="00A3678D" w:rsidRDefault="00A3678D" w:rsidP="004A07FB">
      <w:pPr>
        <w:rPr>
          <w:rFonts w:ascii="Arial" w:eastAsia="Arial" w:hAnsi="Arial" w:cs="Arial"/>
          <w:sz w:val="20"/>
          <w:szCs w:val="20"/>
        </w:rPr>
      </w:pPr>
      <w:r w:rsidRPr="00A3678D">
        <w:rPr>
          <w:rFonts w:ascii="Arial" w:eastAsia="Arial" w:hAnsi="Arial" w:cs="Arial"/>
          <w:sz w:val="20"/>
          <w:szCs w:val="20"/>
        </w:rPr>
        <w:drawing>
          <wp:inline distT="0" distB="0" distL="0" distR="0" wp14:anchorId="7FC1AC65" wp14:editId="43FFA749">
            <wp:extent cx="5612130" cy="2529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8D" w:rsidRDefault="0080165E" w:rsidP="004A07F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</w:t>
      </w:r>
      <w:r w:rsidR="009953A5">
        <w:rPr>
          <w:rFonts w:ascii="Arial" w:eastAsia="Arial" w:hAnsi="Arial" w:cs="Arial"/>
          <w:sz w:val="20"/>
          <w:szCs w:val="20"/>
        </w:rPr>
        <w:t xml:space="preserve"> Incidencias Resueltas enero </w:t>
      </w:r>
    </w:p>
    <w:p w:rsidR="007B26B5" w:rsidRDefault="0080165E" w:rsidP="004A07FB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0B6BEAC" wp14:editId="2DBDB430">
            <wp:simplePos x="0" y="0"/>
            <wp:positionH relativeFrom="column">
              <wp:posOffset>120015</wp:posOffset>
            </wp:positionH>
            <wp:positionV relativeFrom="paragraph">
              <wp:posOffset>8255</wp:posOffset>
            </wp:positionV>
            <wp:extent cx="4619625" cy="1987887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8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137701" w:rsidRPr="009953A5" w:rsidRDefault="00AC0756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5-6</w:t>
      </w:r>
      <w:r w:rsidR="009953A5">
        <w:rPr>
          <w:rFonts w:ascii="Arial" w:eastAsia="Arial" w:hAnsi="Arial" w:cs="Arial"/>
          <w:b/>
          <w:color w:val="000000"/>
          <w:sz w:val="24"/>
          <w:szCs w:val="24"/>
        </w:rPr>
        <w:t xml:space="preserve">Guías Rápidas CPH </w:t>
      </w:r>
      <w:r w:rsidR="009953A5" w:rsidRPr="009953A5">
        <w:rPr>
          <w:rFonts w:ascii="Arial" w:eastAsia="Arial" w:hAnsi="Arial" w:cs="Arial"/>
          <w:color w:val="000000"/>
          <w:sz w:val="24"/>
          <w:szCs w:val="24"/>
        </w:rPr>
        <w:t>(</w:t>
      </w:r>
      <w:r w:rsidR="009953A5">
        <w:rPr>
          <w:rFonts w:ascii="Arial" w:eastAsia="Arial" w:hAnsi="Arial" w:cs="Arial"/>
          <w:color w:val="000000"/>
          <w:sz w:val="24"/>
          <w:szCs w:val="24"/>
        </w:rPr>
        <w:t xml:space="preserve">revisadas y enviadas a Usuarios por email) </w:t>
      </w:r>
    </w:p>
    <w:p w:rsidR="009953A5" w:rsidRDefault="009953A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52CA6987" wp14:editId="7FF4B08E">
            <wp:extent cx="4943475" cy="2562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A5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7-8 </w:t>
      </w: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AC075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2C1ACA7F" wp14:editId="02331414">
            <wp:extent cx="5612130" cy="2324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9 Jenkins </w:t>
      </w:r>
      <w:r w:rsidRPr="00AC0756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1D1474BE" wp14:editId="4F427ECD">
            <wp:extent cx="5612130" cy="24726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10 Repositorios </w:t>
      </w: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1B281F4E" wp14:editId="6F794245">
            <wp:extent cx="5612130" cy="258953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C53C8" w:rsidRDefault="007C53C8" w:rsidP="006C4439">
      <w:pPr>
        <w:spacing w:after="0" w:line="240" w:lineRule="auto"/>
        <w:rPr>
          <w:i/>
          <w:sz w:val="20"/>
          <w:szCs w:val="20"/>
        </w:rPr>
      </w:pPr>
      <w:bookmarkStart w:id="5" w:name="_GoBack"/>
      <w:bookmarkEnd w:id="5"/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B6113A" w:rsidRPr="008B32D9" w:rsidTr="008F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8B32D9" w:rsidRDefault="00B6113A" w:rsidP="008F574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B6113A" w:rsidRPr="00405931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realizaron las pruebas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funcionalidad a la plataforma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PDRMyE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el perfil analista, usuario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oswaldo.calzada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. Módulos testeados: Catálogos, Coeficientes, Cálculos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concluyendo Enero – Diciembre 2022</w:t>
            </w:r>
          </w:p>
        </w:tc>
        <w:tc>
          <w:tcPr>
            <w:tcW w:w="2127" w:type="dxa"/>
            <w:noWrap/>
            <w:hideMark/>
          </w:tcPr>
          <w:p w:rsidR="00B6113A" w:rsidRPr="00423135" w:rsidRDefault="00B6113A" w:rsidP="008F574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4F22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Pruebas DAMOP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Catálogos realizadas; quedando pendiente Participaciones y aportaciones al igual que Resumen de transferencias. </w:t>
            </w:r>
          </w:p>
        </w:tc>
        <w:tc>
          <w:tcPr>
            <w:tcW w:w="2127" w:type="dxa"/>
            <w:noWrap/>
            <w:hideMark/>
          </w:tcPr>
          <w:p w:rsidR="00B6113A" w:rsidRDefault="00B6113A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instaló </w:t>
            </w:r>
            <w:r w:rsidRPr="00405931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Jira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plataforma donde se lleva un registro de las actividades a realizar, en proceso y actividades finalizadas.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B6113A" w:rsidRPr="002F5DC5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checaron las resoluciones de incidencias del mes de enero. </w:t>
            </w:r>
            <w:r w:rsidRPr="007820C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Mantis Bug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4A07D9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trabajó en la revisión y observación de las </w:t>
            </w:r>
            <w:r w:rsidRPr="007820C7">
              <w:rPr>
                <w:rFonts w:ascii="Arial" w:eastAsia="Calibri" w:hAnsi="Arial" w:cs="Arial"/>
                <w:b/>
                <w:bCs/>
                <w:iCs/>
                <w:sz w:val="20"/>
                <w:lang w:val="es-MX"/>
              </w:rPr>
              <w:t>Guías Rápidas CPH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. Pendientes si tendremos que hacer cambios.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enviaron por correo electrónico las Guías Rápidas CPH a los usuarios.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instaló Mantis Bug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tracter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un nuevo servidor para un mejor funcionamiento.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crearon los usuarios para el acceso a la plataforma en Mantis. Los desarrolladores crearon sus propias contraseñas para el acceso de la misma. En espera de que los desarrolladores terminen parte sus proyectos para ir revisando detalles.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instaló Jenkins también en el nuevo servidos. En esta parte se les apoya a los desarrolladores a automatizar el proceso del desarrollo  </w:t>
            </w:r>
            <w:r w:rsidRPr="0098061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haciendo </w:t>
            </w:r>
            <w:proofErr w:type="spellStart"/>
            <w:r w:rsidRPr="006C4439">
              <w:rPr>
                <w:rStyle w:val="ui-provider"/>
                <w:rFonts w:ascii="Arial" w:hAnsi="Arial" w:cs="Arial"/>
                <w:sz w:val="20"/>
                <w:szCs w:val="20"/>
              </w:rPr>
              <w:t>deploy</w:t>
            </w:r>
            <w:proofErr w:type="spellEnd"/>
            <w:r w:rsidRPr="00980618">
              <w:rPr>
                <w:rStyle w:val="ui-provider"/>
                <w:rFonts w:ascii="Arial" w:hAnsi="Arial" w:cs="Arial"/>
              </w:rPr>
              <w:t xml:space="preserve"> en</w:t>
            </w:r>
            <w:r>
              <w:rPr>
                <w:rStyle w:val="ui-provider"/>
              </w:rPr>
              <w:t xml:space="preserve"> </w:t>
            </w:r>
            <w:r w:rsidRPr="00980618">
              <w:rPr>
                <w:rStyle w:val="ui-provider"/>
                <w:rFonts w:ascii="Arial" w:hAnsi="Arial" w:cs="Arial"/>
              </w:rPr>
              <w:t>el</w:t>
            </w:r>
            <w:r>
              <w:rPr>
                <w:rStyle w:val="ui-provider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back and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B6113A" w:rsidRDefault="00B6113A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crearon repositorios para ir almacenando, publicando y bajando cambios de los proyectos. 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B6113A" w:rsidRDefault="00B6113A" w:rsidP="006C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tomó una pequeña introducción de</w:t>
            </w:r>
            <w:r w:rsidR="006C443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 proyecto de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LOG – IN </w:t>
            </w:r>
            <w:r w:rsidR="006C443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 el propósito de llevar acabo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el registro y la</w:t>
            </w:r>
            <w:r w:rsidR="00AC075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administración de los usuarios. </w:t>
            </w:r>
          </w:p>
        </w:tc>
        <w:tc>
          <w:tcPr>
            <w:tcW w:w="2127" w:type="dxa"/>
            <w:noWrap/>
          </w:tcPr>
          <w:p w:rsidR="00B6113A" w:rsidRPr="00573322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AC0756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C0756" w:rsidRDefault="00AC075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AC0756" w:rsidRDefault="006C4439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>Se adquirió</w:t>
            </w:r>
            <w:r w:rsidR="004272FD"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 del equipo del proyecto de LOGIN un usuario para comenzar a realizar las pruebas correspondientes. </w:t>
            </w:r>
          </w:p>
        </w:tc>
        <w:tc>
          <w:tcPr>
            <w:tcW w:w="2127" w:type="dxa"/>
            <w:noWrap/>
          </w:tcPr>
          <w:p w:rsidR="00AC0756" w:rsidRDefault="00AC0756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AC0756" w:rsidP="008F574F">
            <w:pPr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9953A5" w:rsidRDefault="00B6113A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integró al equipo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testing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una compañera a la cual se le hizo llegar una introducción de las plataformas y las forma en la que se estará trabajando.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9953A5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953A5" w:rsidRDefault="00AC075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lastRenderedPageBreak/>
              <w:t>14</w:t>
            </w:r>
          </w:p>
        </w:tc>
        <w:tc>
          <w:tcPr>
            <w:tcW w:w="5895" w:type="dxa"/>
          </w:tcPr>
          <w:p w:rsidR="009953A5" w:rsidRDefault="0079651D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hicieron observaciones a las guías rápidas de DAMOP </w:t>
            </w:r>
            <w:r w:rsidR="004272FD"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(Catálogos: Avisos, Eventos, Divisas y Bancos) </w:t>
            </w:r>
          </w:p>
        </w:tc>
        <w:tc>
          <w:tcPr>
            <w:tcW w:w="2127" w:type="dxa"/>
            <w:noWrap/>
          </w:tcPr>
          <w:p w:rsidR="009953A5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460028" w:rsidRDefault="00460028"/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2E9" w:rsidRDefault="007572E9">
      <w:pPr>
        <w:spacing w:after="0" w:line="240" w:lineRule="auto"/>
      </w:pPr>
      <w:r>
        <w:separator/>
      </w:r>
    </w:p>
  </w:endnote>
  <w:endnote w:type="continuationSeparator" w:id="0">
    <w:p w:rsidR="007572E9" w:rsidRDefault="0075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2E9" w:rsidRDefault="007572E9">
      <w:pPr>
        <w:spacing w:after="0" w:line="240" w:lineRule="auto"/>
      </w:pPr>
      <w:r>
        <w:separator/>
      </w:r>
    </w:p>
  </w:footnote>
  <w:footnote w:type="continuationSeparator" w:id="0">
    <w:p w:rsidR="007572E9" w:rsidRDefault="0075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C05F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Enero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C4439">
            <w:rPr>
              <w:rFonts w:ascii="Arial" w:eastAsia="Arial" w:hAnsi="Arial" w:cs="Arial"/>
              <w:noProof/>
            </w:rPr>
            <w:t>11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6C4439">
            <w:rPr>
              <w:rFonts w:ascii="Arial" w:eastAsia="Arial" w:hAnsi="Arial" w:cs="Arial"/>
              <w:noProof/>
            </w:rPr>
            <w:t>11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4313"/>
    <w:rsid w:val="00075BD1"/>
    <w:rsid w:val="00137701"/>
    <w:rsid w:val="001D1C45"/>
    <w:rsid w:val="00214B09"/>
    <w:rsid w:val="00253270"/>
    <w:rsid w:val="002C6FA9"/>
    <w:rsid w:val="002E13B6"/>
    <w:rsid w:val="003045DC"/>
    <w:rsid w:val="00357D87"/>
    <w:rsid w:val="003A42BE"/>
    <w:rsid w:val="003E1121"/>
    <w:rsid w:val="003E498B"/>
    <w:rsid w:val="004272FD"/>
    <w:rsid w:val="00460028"/>
    <w:rsid w:val="004A07FB"/>
    <w:rsid w:val="005815E6"/>
    <w:rsid w:val="005F50EB"/>
    <w:rsid w:val="006364F5"/>
    <w:rsid w:val="00664EDF"/>
    <w:rsid w:val="0066701B"/>
    <w:rsid w:val="006B4DF3"/>
    <w:rsid w:val="006C4439"/>
    <w:rsid w:val="0070087F"/>
    <w:rsid w:val="007349DF"/>
    <w:rsid w:val="007572E9"/>
    <w:rsid w:val="0079651D"/>
    <w:rsid w:val="007B26B5"/>
    <w:rsid w:val="007C53C8"/>
    <w:rsid w:val="007E213F"/>
    <w:rsid w:val="007E6371"/>
    <w:rsid w:val="0080165E"/>
    <w:rsid w:val="008275B2"/>
    <w:rsid w:val="00872D19"/>
    <w:rsid w:val="008C23F4"/>
    <w:rsid w:val="008E2BB5"/>
    <w:rsid w:val="008F574F"/>
    <w:rsid w:val="00970F2B"/>
    <w:rsid w:val="009953A5"/>
    <w:rsid w:val="009A01FB"/>
    <w:rsid w:val="00A3678D"/>
    <w:rsid w:val="00AB539D"/>
    <w:rsid w:val="00AC0756"/>
    <w:rsid w:val="00B163AD"/>
    <w:rsid w:val="00B6113A"/>
    <w:rsid w:val="00BA58BB"/>
    <w:rsid w:val="00C05F24"/>
    <w:rsid w:val="00C111DA"/>
    <w:rsid w:val="00C259AA"/>
    <w:rsid w:val="00C374E3"/>
    <w:rsid w:val="00CD5A1F"/>
    <w:rsid w:val="00CF39D1"/>
    <w:rsid w:val="00D708EC"/>
    <w:rsid w:val="00D82C00"/>
    <w:rsid w:val="00E353CB"/>
    <w:rsid w:val="00E4185F"/>
    <w:rsid w:val="00EA7092"/>
    <w:rsid w:val="00ED665B"/>
    <w:rsid w:val="00EF3D60"/>
    <w:rsid w:val="00F2448C"/>
    <w:rsid w:val="00F63853"/>
    <w:rsid w:val="00F72DCD"/>
    <w:rsid w:val="00F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2572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11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1</cp:revision>
  <dcterms:created xsi:type="dcterms:W3CDTF">2023-01-30T18:34:00Z</dcterms:created>
  <dcterms:modified xsi:type="dcterms:W3CDTF">2023-01-31T16:48:00Z</dcterms:modified>
</cp:coreProperties>
</file>