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07BC" w:rsidRDefault="00E51513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proofErr w:type="spellStart"/>
      <w:r w:rsidRPr="00C9744E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Kick</w:t>
      </w:r>
      <w:proofErr w:type="spellEnd"/>
      <w:r w:rsidRPr="00C9744E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 xml:space="preserve"> Off</w:t>
      </w:r>
    </w:p>
    <w:p w:rsidR="00C9744E" w:rsidRPr="00C9744E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id w:val="-21242284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272AF" w:rsidRDefault="007272AF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7272AF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7272AF" w:rsidRPr="007272AF" w:rsidRDefault="007272AF" w:rsidP="007272AF">
          <w:pPr>
            <w:rPr>
              <w:lang w:eastAsia="es-ES"/>
            </w:rPr>
          </w:pPr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43689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1.0 Información del proyecto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_Toc237343689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690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2.0 Introducción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_Toc237343690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691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3.0 Objeto y proyección del alcance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_Toc237343691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692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4.0 Alcance funcional por módulo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_Toc237343692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3" w:history="1">
            <w:r w:rsidRPr="007272AF">
              <w:rPr>
                <w:rStyle w:val="Hipervnculo"/>
                <w:rFonts w:cs="Arial"/>
                <w:noProof/>
                <w:szCs w:val="24"/>
              </w:rPr>
              <w:t>4.1 Cálculo de Participaciones (CPH)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_Toc237343693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4" w:history="1">
            <w:r w:rsidRPr="007272AF">
              <w:rPr>
                <w:rStyle w:val="Hipervnculo"/>
                <w:rFonts w:cs="Arial"/>
                <w:noProof/>
                <w:szCs w:val="24"/>
              </w:rPr>
              <w:t>4.2 Distribución y Aplicación (DAMOP)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_Toc237343694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5" w:history="1">
            <w:r w:rsidRPr="007272AF">
              <w:rPr>
                <w:rStyle w:val="Hipervnculo"/>
                <w:rFonts w:cs="Arial"/>
                <w:noProof/>
                <w:szCs w:val="24"/>
              </w:rPr>
              <w:t>4.3 Dirección de Administración Financiera (DAF)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_Toc237343695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6" w:history="1">
            <w:r w:rsidRPr="007272AF">
              <w:rPr>
                <w:rStyle w:val="Hipervnculo"/>
                <w:rFonts w:cs="Arial"/>
                <w:noProof/>
                <w:szCs w:val="24"/>
              </w:rPr>
              <w:t>4.4 Presupuesto y Control Presupuestal (DPCP)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_Toc237343696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7" w:history="1">
            <w:r w:rsidRPr="007272AF">
              <w:rPr>
                <w:rStyle w:val="Hipervnculo"/>
                <w:rFonts w:cs="Arial"/>
                <w:noProof/>
                <w:szCs w:val="24"/>
              </w:rPr>
              <w:t>4.5 Control de Cambios (DCCP)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_Toc237343697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8" w:history="1">
            <w:r w:rsidRPr="007272AF">
              <w:rPr>
                <w:rStyle w:val="Hipervnculo"/>
                <w:rFonts w:cs="Arial"/>
                <w:noProof/>
                <w:szCs w:val="24"/>
              </w:rPr>
              <w:t>4.6 Catálogos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_Toc237343698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4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699" w:history="1">
            <w:r w:rsidRPr="007272AF">
              <w:rPr>
                <w:rStyle w:val="Hipervnculo"/>
                <w:rFonts w:cs="Arial"/>
                <w:noProof/>
                <w:szCs w:val="24"/>
              </w:rPr>
              <w:t>4.7 Reportes y estadísticas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_Toc237343699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5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700" w:history="1">
            <w:r w:rsidRPr="007272AF">
              <w:rPr>
                <w:rStyle w:val="Hipervnculo"/>
                <w:rFonts w:cs="Arial"/>
                <w:noProof/>
                <w:szCs w:val="24"/>
              </w:rPr>
              <w:t>4.8 Firma electrónica (EFIRMA)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_Toc237343700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5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701" w:history="1">
            <w:r w:rsidRPr="007272AF">
              <w:rPr>
                <w:rStyle w:val="Hipervnculo"/>
                <w:rFonts w:cs="Arial"/>
                <w:noProof/>
                <w:szCs w:val="24"/>
              </w:rPr>
              <w:t>4.9 Usuarios, roles y privilegios</w:t>
            </w:r>
            <w:r w:rsidRPr="007272AF">
              <w:rPr>
                <w:rFonts w:cs="Arial"/>
                <w:noProof/>
                <w:webHidden/>
                <w:szCs w:val="24"/>
              </w:rPr>
              <w:tab/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7272AF">
              <w:rPr>
                <w:rFonts w:cs="Arial"/>
                <w:noProof/>
                <w:webHidden/>
                <w:szCs w:val="24"/>
              </w:rPr>
              <w:instrText xml:space="preserve"> PAGEREF _Toc237343701 \h </w:instrText>
            </w:r>
            <w:r w:rsidRPr="007272AF">
              <w:rPr>
                <w:rFonts w:cs="Arial"/>
                <w:noProof/>
                <w:webHidden/>
                <w:szCs w:val="24"/>
              </w:rPr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5</w:t>
            </w:r>
            <w:r w:rsidRPr="007272A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702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5.0 Premisas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_Toc237343702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Pr="007272AF" w:rsidRDefault="007272AF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703" w:history="1"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6.0 Exclusiones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_Toc237343703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Default="00727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37343704" w:history="1">
            <w:r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7</w:t>
            </w:r>
            <w:r w:rsidRPr="007272AF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.0 FIRMAS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_Toc237343704 \h </w:instrTex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7272A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272AF" w:rsidRDefault="007272AF">
          <w:r>
            <w:rPr>
              <w:b/>
              <w:bCs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7272AF">
      <w:pPr>
        <w:jc w:val="both"/>
        <w:rPr>
          <w:rFonts w:ascii="Arial" w:hAnsi="Arial" w:cs="Arial"/>
          <w:sz w:val="28"/>
          <w:szCs w:val="24"/>
        </w:rPr>
      </w:pPr>
    </w:p>
    <w:p w:rsidR="007272AF" w:rsidRDefault="007272AF" w:rsidP="007272AF">
      <w:pPr>
        <w:jc w:val="both"/>
        <w:rPr>
          <w:rFonts w:ascii="Arial" w:hAnsi="Arial" w:cs="Arial"/>
          <w:sz w:val="28"/>
          <w:szCs w:val="24"/>
        </w:rPr>
      </w:pPr>
      <w:bookmarkStart w:id="1" w:name="_GoBack"/>
      <w:bookmarkEnd w:id="1"/>
    </w:p>
    <w:p w:rsidR="007272AF" w:rsidRPr="007272AF" w:rsidRDefault="007272AF" w:rsidP="007272AF">
      <w:pPr>
        <w:jc w:val="both"/>
        <w:rPr>
          <w:rFonts w:ascii="Arial" w:hAnsi="Arial" w:cs="Arial"/>
          <w:sz w:val="28"/>
          <w:szCs w:val="24"/>
        </w:rPr>
      </w:pPr>
    </w:p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8"/>
          <w:szCs w:val="24"/>
        </w:rPr>
      </w:pPr>
      <w:bookmarkStart w:id="2" w:name="_Toc237343689"/>
      <w:r w:rsidRPr="007272AF">
        <w:rPr>
          <w:rFonts w:ascii="Arial" w:hAnsi="Arial" w:cs="Arial"/>
          <w:b/>
          <w:color w:val="auto"/>
          <w:sz w:val="28"/>
          <w:szCs w:val="24"/>
        </w:rPr>
        <w:lastRenderedPageBreak/>
        <w:t>1.0 Información del proyecto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0"/>
        <w:gridCol w:w="5848"/>
      </w:tblGrid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b/>
                <w:sz w:val="24"/>
                <w:szCs w:val="24"/>
              </w:rPr>
              <w:t>Dato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Empresa / Organización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Secretaría de Finanzas y Tesorería General del Estado de Nuevo León (</w:t>
            </w:r>
            <w:proofErr w:type="spellStart"/>
            <w:r w:rsidRPr="007272AF">
              <w:rPr>
                <w:rFonts w:ascii="Arial" w:hAnsi="Arial" w:cs="Arial"/>
                <w:sz w:val="24"/>
                <w:szCs w:val="24"/>
              </w:rPr>
              <w:t>SFyTGE</w:t>
            </w:r>
            <w:proofErr w:type="spellEnd"/>
            <w:r w:rsidRPr="007272AF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Representante de la organización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Néstor Ibarra Palomares, Coordinación de Gestión de Información</w:t>
            </w:r>
          </w:p>
        </w:tc>
      </w:tr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Nombre del proyecto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Distribución de Participaciones Federales y Estatales a Municipios y Entidades (PDRMYE)</w:t>
            </w:r>
          </w:p>
        </w:tc>
      </w:tr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Fecha de preparación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11 de agosto de 2026</w:t>
            </w:r>
          </w:p>
        </w:tc>
      </w:tr>
      <w:tr w:rsidR="007272AF" w:rsidRPr="007272AF" w:rsidTr="007272AF">
        <w:tc>
          <w:tcPr>
            <w:tcW w:w="3168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Patrocinador</w:t>
            </w:r>
          </w:p>
        </w:tc>
        <w:tc>
          <w:tcPr>
            <w:tcW w:w="6480" w:type="dxa"/>
            <w:shd w:val="clear" w:color="auto" w:fill="auto"/>
          </w:tcPr>
          <w:p w:rsidR="007272AF" w:rsidRPr="007272AF" w:rsidRDefault="007272AF" w:rsidP="007272A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2AF">
              <w:rPr>
                <w:rFonts w:ascii="Arial" w:hAnsi="Arial" w:cs="Arial"/>
                <w:sz w:val="24"/>
                <w:szCs w:val="24"/>
              </w:rPr>
              <w:t>Secretario de Finanzas y Tesorero General del Estado de Nuevo León</w:t>
            </w:r>
          </w:p>
        </w:tc>
      </w:tr>
    </w:tbl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8"/>
          <w:szCs w:val="24"/>
        </w:rPr>
      </w:pPr>
      <w:bookmarkStart w:id="3" w:name="_Toc237343690"/>
      <w:r w:rsidRPr="007272AF">
        <w:rPr>
          <w:rFonts w:ascii="Arial" w:hAnsi="Arial" w:cs="Arial"/>
          <w:b/>
          <w:color w:val="auto"/>
          <w:sz w:val="28"/>
          <w:szCs w:val="24"/>
        </w:rPr>
        <w:t>2.0 Introducción</w:t>
      </w:r>
      <w:bookmarkEnd w:id="3"/>
    </w:p>
    <w:p w:rsidR="007272AF" w:rsidRP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  <w:r w:rsidRPr="007272AF">
        <w:rPr>
          <w:rFonts w:ascii="Arial" w:hAnsi="Arial" w:cs="Arial"/>
          <w:sz w:val="24"/>
          <w:szCs w:val="24"/>
        </w:rPr>
        <w:t xml:space="preserve">La evolución de la tecnología y la visión de mejora continua llevan a la </w:t>
      </w:r>
      <w:proofErr w:type="spellStart"/>
      <w:r w:rsidRPr="007272AF">
        <w:rPr>
          <w:rFonts w:ascii="Arial" w:hAnsi="Arial" w:cs="Arial"/>
          <w:sz w:val="24"/>
          <w:szCs w:val="24"/>
        </w:rPr>
        <w:t>SFyTGE</w:t>
      </w:r>
      <w:proofErr w:type="spellEnd"/>
      <w:r w:rsidRPr="007272AF">
        <w:rPr>
          <w:rFonts w:ascii="Arial" w:hAnsi="Arial" w:cs="Arial"/>
          <w:sz w:val="24"/>
          <w:szCs w:val="24"/>
        </w:rPr>
        <w:t>, a través de la Coordinación de Gestión de Información, a automatizar el proceso de distribución de participaciones federales y estatales a los 51 municipios de Nuevo León y a los organismos públicos del estado. El presente documento define el alcance de la plataforma PDRMYE.</w:t>
      </w:r>
    </w:p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8"/>
          <w:szCs w:val="24"/>
        </w:rPr>
      </w:pPr>
      <w:bookmarkStart w:id="4" w:name="_Toc237343691"/>
      <w:r w:rsidRPr="007272AF">
        <w:rPr>
          <w:rFonts w:ascii="Arial" w:hAnsi="Arial" w:cs="Arial"/>
          <w:b/>
          <w:color w:val="auto"/>
          <w:sz w:val="28"/>
          <w:szCs w:val="24"/>
        </w:rPr>
        <w:t>3.0 Objeto y proyección del alcance</w:t>
      </w:r>
      <w:bookmarkEnd w:id="4"/>
    </w:p>
    <w:p w:rsidR="007272AF" w:rsidRP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  <w:r w:rsidRPr="007272AF">
        <w:rPr>
          <w:rFonts w:ascii="Arial" w:hAnsi="Arial" w:cs="Arial"/>
          <w:b/>
          <w:sz w:val="24"/>
          <w:szCs w:val="24"/>
        </w:rPr>
        <w:t>El propósito es desarrollar una plataforma integral que abarque todas las fases del proceso de distribución de participaciones: captura de información, cálculo, ajustes, descuentos, asignación presupuestal, solicitudes de pago, autorización, dispersión y reportes.</w:t>
      </w:r>
    </w:p>
    <w:p w:rsidR="007272AF" w:rsidRP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  <w:r w:rsidRPr="007272AF">
        <w:rPr>
          <w:rFonts w:ascii="Arial" w:hAnsi="Arial" w:cs="Arial"/>
          <w:b/>
          <w:sz w:val="24"/>
          <w:szCs w:val="24"/>
        </w:rPr>
        <w:t>Objetivos: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Desarrollar una plataforma integral accesible y fácil de usar para todos los involucrados.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Mejorar la eficiencia del proceso automatizando operaciones manuales.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Reducir el tiempo y simplificar el proceso con la menor cantidad de pasos posibles.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Facilitar consultas en tiempo real con desglose detallado de la información.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Contribuir al buen gobierno, la transparencia y la rendición de cuentas.</w:t>
      </w:r>
    </w:p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237343692"/>
      <w:r w:rsidRPr="007272AF">
        <w:rPr>
          <w:rFonts w:ascii="Arial" w:hAnsi="Arial" w:cs="Arial"/>
          <w:b/>
          <w:color w:val="auto"/>
          <w:sz w:val="24"/>
          <w:szCs w:val="24"/>
        </w:rPr>
        <w:lastRenderedPageBreak/>
        <w:t>4.0 Alcance funcional por módulo</w:t>
      </w:r>
      <w:bookmarkEnd w:id="5"/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6" w:name="_Toc237343693"/>
      <w:r w:rsidRPr="007272AF">
        <w:rPr>
          <w:rFonts w:ascii="Arial" w:hAnsi="Arial" w:cs="Arial"/>
          <w:sz w:val="24"/>
          <w:szCs w:val="24"/>
        </w:rPr>
        <w:t>4.1 Cálculo de Participaciones (CPH)</w:t>
      </w:r>
      <w:bookmarkEnd w:id="6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Catálogos de coeficientes y cálculo de participaciones por fondo (FGP, FFM, IEPS, FOFIR, FEXHI, ISAN, COMP ISAN, ISR, </w:t>
      </w: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IEPSGyD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>).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Cálculo de garantía sobre el coeficiente Art. 14 Fracción I.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Ajustes: semestral, anual e ISN con bitácora y trazabilidad.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PEF (Presupuesto de Egresos de la Federación) y presupuesto por recaudación.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Versionado, aprobación, borrado y </w:t>
      </w: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recálculo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 de cálculos.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7" w:name="_Toc237343694"/>
      <w:r w:rsidRPr="007272AF">
        <w:rPr>
          <w:rFonts w:ascii="Arial" w:hAnsi="Arial" w:cs="Arial"/>
          <w:sz w:val="24"/>
          <w:szCs w:val="24"/>
        </w:rPr>
        <w:t>4.2 Distribución y Aplicación (DAMOP)</w:t>
      </w:r>
      <w:bookmarkEnd w:id="7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Consulta de participaciones por municipio y detalle de cálculo.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Aplicación de descuentos (préstamos, </w:t>
      </w: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Banobras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>, SAT) y retenciones.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Pagos parciales, anticipos de participaciones y clonación de información.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Catálogos de organismos, clasificador de servicios personales, retenciones y tipos de pago.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Usuarios responsables por municipio y organismo.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8" w:name="_Toc237343695"/>
      <w:r w:rsidRPr="007272AF">
        <w:rPr>
          <w:rFonts w:ascii="Arial" w:hAnsi="Arial" w:cs="Arial"/>
          <w:sz w:val="24"/>
          <w:szCs w:val="24"/>
        </w:rPr>
        <w:t>4.3 Dirección de Administración Financiera (DAF)</w:t>
      </w:r>
      <w:bookmarkEnd w:id="8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Asignación de pagos, SPEI y CFDI.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Generación de número de orden de pago y autorización de egresos.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Marcado de pagos pagados / </w:t>
      </w: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Monex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>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9" w:name="_Toc237343696"/>
      <w:r w:rsidRPr="007272AF">
        <w:rPr>
          <w:rFonts w:ascii="Arial" w:hAnsi="Arial" w:cs="Arial"/>
          <w:sz w:val="24"/>
          <w:szCs w:val="24"/>
        </w:rPr>
        <w:t>4.4 Presupuesto y Control Presupuestal (DPCP)</w:t>
      </w:r>
      <w:bookmarkEnd w:id="9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272AF">
        <w:rPr>
          <w:rFonts w:ascii="Arial" w:hAnsi="Arial" w:cs="Arial"/>
          <w:color w:val="auto"/>
          <w:sz w:val="24"/>
          <w:szCs w:val="24"/>
        </w:rPr>
        <w:t>Asignación</w:t>
      </w:r>
      <w:proofErr w:type="spellEnd"/>
      <w:r w:rsidRPr="007272AF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272AF">
        <w:rPr>
          <w:rFonts w:ascii="Arial" w:hAnsi="Arial" w:cs="Arial"/>
          <w:color w:val="auto"/>
          <w:sz w:val="24"/>
          <w:szCs w:val="24"/>
        </w:rPr>
        <w:t>presupuestal</w:t>
      </w:r>
      <w:proofErr w:type="spellEnd"/>
      <w:r w:rsidRPr="007272AF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272AF">
        <w:rPr>
          <w:rFonts w:ascii="Arial" w:hAnsi="Arial" w:cs="Arial"/>
          <w:color w:val="auto"/>
          <w:sz w:val="24"/>
          <w:szCs w:val="24"/>
        </w:rPr>
        <w:t>por</w:t>
      </w:r>
      <w:proofErr w:type="spellEnd"/>
      <w:r w:rsidRPr="007272AF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272AF">
        <w:rPr>
          <w:rFonts w:ascii="Arial" w:hAnsi="Arial" w:cs="Arial"/>
          <w:color w:val="auto"/>
          <w:sz w:val="24"/>
          <w:szCs w:val="24"/>
        </w:rPr>
        <w:t>municipio</w:t>
      </w:r>
      <w:proofErr w:type="spellEnd"/>
      <w:r w:rsidRPr="007272AF">
        <w:rPr>
          <w:rFonts w:ascii="Arial" w:hAnsi="Arial" w:cs="Arial"/>
          <w:color w:val="auto"/>
          <w:sz w:val="24"/>
          <w:szCs w:val="24"/>
        </w:rPr>
        <w:t>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Registro y autorización de solicitudes de presupuesto.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0" w:name="_Toc237343697"/>
      <w:r w:rsidRPr="007272AF">
        <w:rPr>
          <w:rFonts w:ascii="Arial" w:hAnsi="Arial" w:cs="Arial"/>
          <w:sz w:val="24"/>
          <w:szCs w:val="24"/>
        </w:rPr>
        <w:t>4.5 Control de Cambios (DCCP)</w:t>
      </w:r>
      <w:bookmarkEnd w:id="10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Solicitudes de cambios de municipios (cambio de cuentas, información, contactos).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1" w:name="_Toc237343698"/>
      <w:r w:rsidRPr="007272AF">
        <w:rPr>
          <w:rFonts w:ascii="Arial" w:hAnsi="Arial" w:cs="Arial"/>
          <w:sz w:val="24"/>
          <w:szCs w:val="24"/>
        </w:rPr>
        <w:t>4.6 Catálogos</w:t>
      </w:r>
      <w:bookmarkEnd w:id="11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Municipios, población, proyección de población, pobreza, pobreza extrema, recaudación, refrendos, territorio, facturación, ISAI, ISN.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UMAS, coeficientes, fondos, tipo de fondo, tipo de fondo cálculo, inflación (mes/año), divisas, bancos, cuentas bancarias.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Ajustes de cálculo, avisos, eventos, calendarios, notificaciones, plantillas.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2" w:name="_Toc237343699"/>
      <w:r w:rsidRPr="007272AF">
        <w:rPr>
          <w:rFonts w:ascii="Arial" w:hAnsi="Arial" w:cs="Arial"/>
          <w:sz w:val="24"/>
          <w:szCs w:val="24"/>
        </w:rPr>
        <w:lastRenderedPageBreak/>
        <w:t>4.7 Reportes y estadísticas</w:t>
      </w:r>
      <w:bookmarkEnd w:id="12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Reporteador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>, concentrado, formato de solicitud y requerimiento presupuestal.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Exportación a Excel, PDF y Word; reporte de fondos.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3" w:name="_Toc237343700"/>
      <w:r w:rsidRPr="007272AF">
        <w:rPr>
          <w:rFonts w:ascii="Arial" w:hAnsi="Arial" w:cs="Arial"/>
          <w:sz w:val="24"/>
          <w:szCs w:val="24"/>
        </w:rPr>
        <w:t>4.8 Firma electrónica (EFIRMA)</w:t>
      </w:r>
      <w:bookmarkEnd w:id="13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Bandejas: por enviar, enviados, recibidos e histórico.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Configuración y firma de documentos.</w:t>
      </w:r>
    </w:p>
    <w:p w:rsidR="007272AF" w:rsidRPr="007272AF" w:rsidRDefault="007272AF" w:rsidP="007272AF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4" w:name="_Toc237343701"/>
      <w:r w:rsidRPr="007272AF">
        <w:rPr>
          <w:rFonts w:ascii="Arial" w:hAnsi="Arial" w:cs="Arial"/>
          <w:sz w:val="24"/>
          <w:szCs w:val="24"/>
        </w:rPr>
        <w:t>4.9 Usuarios, roles y privilegios</w:t>
      </w:r>
      <w:bookmarkEnd w:id="14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Gestión de usuarios, roles y privilegios.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Videos tutoriales, guías rápidas y preguntas frecuentes.</w:t>
      </w:r>
    </w:p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5" w:name="_Toc237343702"/>
      <w:r w:rsidRPr="007272AF">
        <w:rPr>
          <w:rFonts w:ascii="Arial" w:hAnsi="Arial" w:cs="Arial"/>
          <w:b/>
          <w:color w:val="auto"/>
          <w:sz w:val="24"/>
          <w:szCs w:val="24"/>
        </w:rPr>
        <w:t>5.0 Premisas</w:t>
      </w:r>
      <w:bookmarkEnd w:id="15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El levantamiento de información se hará con las áreas participantes para obtener el panorama de las transacciones por área.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Evitar doble funcionalidad con SIREGOB y con hojas de Excel actuales.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La información se homologa con los convenios de la Federación y la legislación vigente.</w:t>
      </w:r>
    </w:p>
    <w:p w:rsidR="007272AF" w:rsidRPr="007272AF" w:rsidRDefault="007272AF" w:rsidP="007272AF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6" w:name="_Toc237343703"/>
      <w:r w:rsidRPr="007272AF">
        <w:rPr>
          <w:rFonts w:ascii="Arial" w:hAnsi="Arial" w:cs="Arial"/>
          <w:b/>
          <w:color w:val="auto"/>
          <w:sz w:val="24"/>
          <w:szCs w:val="24"/>
        </w:rPr>
        <w:t>6.0 Exclusiones</w:t>
      </w:r>
      <w:bookmarkEnd w:id="16"/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No incluye la recaudación directa de impuestos por parte del sistema; los datos se capturan o importan.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No sustituye a SIREGOB en su totalidad; solo consulta presupuesto y pagos.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 xml:space="preserve">No incluye el trámite de préstamos ante </w:t>
      </w:r>
      <w:proofErr w:type="spellStart"/>
      <w:r w:rsidRPr="007272AF">
        <w:rPr>
          <w:rFonts w:ascii="Arial" w:hAnsi="Arial" w:cs="Arial"/>
          <w:color w:val="auto"/>
          <w:sz w:val="24"/>
          <w:szCs w:val="24"/>
          <w:lang w:val="es-MX"/>
        </w:rPr>
        <w:t>Banobras</w:t>
      </w:r>
      <w:proofErr w:type="spellEnd"/>
      <w:r w:rsidRPr="007272AF">
        <w:rPr>
          <w:rFonts w:ascii="Arial" w:hAnsi="Arial" w:cs="Arial"/>
          <w:color w:val="auto"/>
          <w:sz w:val="24"/>
          <w:szCs w:val="24"/>
          <w:lang w:val="es-MX"/>
        </w:rPr>
        <w:t>/SAT; solo la aplicación del descuento.</w:t>
      </w:r>
    </w:p>
    <w:p w:rsidR="007272AF" w:rsidRPr="007272AF" w:rsidRDefault="007272AF" w:rsidP="007272AF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7272AF">
        <w:rPr>
          <w:rFonts w:ascii="Arial" w:hAnsi="Arial" w:cs="Arial"/>
          <w:color w:val="auto"/>
          <w:sz w:val="24"/>
          <w:szCs w:val="24"/>
          <w:lang w:val="es-MX"/>
        </w:rPr>
        <w:t>La dispersión real de dinero se realiza en los sistemas bancarios/fideicomiso; PDRMYE registra y da seguimiento.</w:t>
      </w:r>
    </w:p>
    <w:p w:rsidR="00377F13" w:rsidRDefault="00377F13" w:rsidP="007272AF">
      <w:pPr>
        <w:jc w:val="both"/>
        <w:rPr>
          <w:rFonts w:ascii="Arial" w:hAnsi="Arial" w:cs="Arial"/>
          <w:sz w:val="24"/>
          <w:szCs w:val="24"/>
        </w:rPr>
      </w:pPr>
    </w:p>
    <w:p w:rsid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</w:p>
    <w:p w:rsid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</w:p>
    <w:p w:rsid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</w:p>
    <w:p w:rsidR="007272AF" w:rsidRPr="007272AF" w:rsidRDefault="007272AF" w:rsidP="007272AF">
      <w:pPr>
        <w:jc w:val="both"/>
        <w:rPr>
          <w:rFonts w:ascii="Arial" w:hAnsi="Arial" w:cs="Arial"/>
          <w:sz w:val="24"/>
          <w:szCs w:val="24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7272AF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7" w:name="_Toc237343704"/>
      <w:r>
        <w:rPr>
          <w:rFonts w:ascii="Arial" w:hAnsi="Arial" w:cs="Arial"/>
          <w:b/>
          <w:color w:val="000000" w:themeColor="text1"/>
          <w:sz w:val="28"/>
          <w:lang w:val="es-CO"/>
        </w:rPr>
        <w:lastRenderedPageBreak/>
        <w:t>7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7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CCC" w:rsidRDefault="009A2CCC" w:rsidP="00423135">
      <w:pPr>
        <w:spacing w:after="0" w:line="240" w:lineRule="auto"/>
      </w:pPr>
      <w:r>
        <w:separator/>
      </w:r>
    </w:p>
  </w:endnote>
  <w:endnote w:type="continuationSeparator" w:id="0">
    <w:p w:rsidR="009A2CCC" w:rsidRDefault="009A2CCC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72A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72A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CCC" w:rsidRDefault="009A2CCC" w:rsidP="00423135">
      <w:pPr>
        <w:spacing w:after="0" w:line="240" w:lineRule="auto"/>
      </w:pPr>
      <w:r>
        <w:separator/>
      </w:r>
    </w:p>
  </w:footnote>
  <w:footnote w:type="continuationSeparator" w:id="0">
    <w:p w:rsidR="009A2CCC" w:rsidRDefault="009A2CCC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6C4B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13"/>
  </w:num>
  <w:num w:numId="5">
    <w:abstractNumId w:val="14"/>
  </w:num>
  <w:num w:numId="6">
    <w:abstractNumId w:val="10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11"/>
  </w:num>
  <w:num w:numId="12">
    <w:abstractNumId w:val="2"/>
  </w:num>
  <w:num w:numId="13">
    <w:abstractNumId w:val="15"/>
  </w:num>
  <w:num w:numId="14">
    <w:abstractNumId w:val="6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272AF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A2CCC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61299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5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Listaconvietas">
    <w:name w:val="List Bullet"/>
    <w:basedOn w:val="Normal"/>
    <w:uiPriority w:val="99"/>
    <w:unhideWhenUsed/>
    <w:rsid w:val="007272AF"/>
    <w:pPr>
      <w:numPr>
        <w:numId w:val="16"/>
      </w:numPr>
      <w:contextualSpacing/>
    </w:pPr>
    <w:rPr>
      <w:rFonts w:ascii="Calibri" w:eastAsia="Calibri" w:hAnsi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D79EA-4C77-4DA3-A5D6-C5D90A05B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6</Pages>
  <Words>997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81e6f79c-45db-4398-9594-40ddbce972b7</vt:lpwstr>
  </property>
</Properties>
</file>