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C9744E" w:rsidRPr="00C9744E" w:rsidRDefault="00B706ED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r w:rsidRPr="00B706ED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Criterios de Aceptación</w:t>
      </w: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1772F0" w:rsidRDefault="001772F0" w:rsidP="001772F0">
          <w:pPr>
            <w:rPr>
              <w:lang w:eastAsia="es-ES"/>
            </w:rPr>
          </w:pPr>
        </w:p>
        <w:p w:rsidR="00B706ED" w:rsidRPr="00B706ED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 w:rsidRPr="00B706ED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begin"/>
          </w:r>
          <w:r w:rsidRPr="00B706ED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706ED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separate"/>
          </w:r>
          <w:hyperlink w:anchor="_Toc237346551" w:history="1">
            <w:r w:rsidR="00B706ED"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1.0 Información del proyecto</w:t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_Toc237346551 \h </w:instrText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B706ED"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2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2.0 Introducción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_Toc237346552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3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s-MX"/>
              </w:rPr>
              <w:t>3.0 Formato de criterios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_Toc237346553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4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4.0 Criterios transversales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_Toc237346554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5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5.0 Módulo CPH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_Toc237346555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6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6.0 Módulo DAMOP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_Toc237346556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7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7.0 Módulo DAF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_Toc237346557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8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8.0 Módulo DPCP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_Toc237346558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59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9.0 Catálogos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_Toc237346559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60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10.0 Reportes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_Toc237346560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61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11.0 EFIRMA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_Toc237346561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62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12.0 Usuarios, roles y privilegios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_Toc237346562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63" w:history="1">
            <w:r w:rsidRPr="00B706ED">
              <w:rPr>
                <w:rStyle w:val="Hipervnculo"/>
                <w:rFonts w:ascii="Arial" w:eastAsia="MS Gothic" w:hAnsi="Arial" w:cs="Arial"/>
                <w:bCs/>
                <w:noProof/>
                <w:sz w:val="24"/>
                <w:szCs w:val="24"/>
                <w:lang w:val="en-US"/>
              </w:rPr>
              <w:t>13.0 Criterios no funcionales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_Toc237346563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706ED" w:rsidRPr="00B706ED" w:rsidRDefault="00B706ED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6564" w:history="1">
            <w:r w:rsidRPr="00B706ED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CO"/>
              </w:rPr>
              <w:t>14.0 FIRMAS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_Toc237346564 \h </w:instrTex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B706E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B706ED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Pr="00B706ED" w:rsidRDefault="003B19B7" w:rsidP="00E51513">
      <w:pPr>
        <w:rPr>
          <w:rFonts w:ascii="Arial" w:hAnsi="Arial" w:cs="Arial"/>
          <w:sz w:val="24"/>
          <w:szCs w:val="24"/>
        </w:rPr>
      </w:pPr>
    </w:p>
    <w:p w:rsidR="00377F13" w:rsidRPr="00B706ED" w:rsidRDefault="00377F13" w:rsidP="00377F13">
      <w:pPr>
        <w:pStyle w:val="Ttulo2"/>
        <w:rPr>
          <w:rFonts w:ascii="Arial" w:hAnsi="Arial" w:cs="Arial"/>
          <w:sz w:val="24"/>
          <w:szCs w:val="24"/>
        </w:rPr>
      </w:pPr>
    </w:p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" w:name="_Toc237346551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1.0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Información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proyecto</w:t>
      </w:r>
      <w:bookmarkEnd w:id="1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555"/>
        <w:gridCol w:w="6273"/>
      </w:tblGrid>
      <w:tr w:rsidR="00B706ED" w:rsidRPr="00B706ED" w:rsidTr="00B706E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Dato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B706ED" w:rsidRPr="00B706ED" w:rsidTr="00B706E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B706ED" w:rsidRPr="00B706ED" w:rsidTr="00B706E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</w:rPr>
              <w:t>Documento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4_Alcance_del_Proyecto_PDRMYE.docx</w:t>
            </w:r>
          </w:p>
        </w:tc>
      </w:tr>
      <w:tr w:rsidR="00B706ED" w:rsidRPr="00B706ED" w:rsidTr="00B706ED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6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Base para la matriz de pruebas y casos de prueba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2" w:name="_Toc237346552"/>
      <w:r w:rsidRPr="00B706ED">
        <w:rPr>
          <w:rFonts w:ascii="Arial" w:eastAsia="MS Gothic" w:hAnsi="Arial" w:cs="Arial"/>
          <w:b/>
          <w:bCs/>
          <w:sz w:val="28"/>
          <w:szCs w:val="24"/>
          <w:lang w:val="es-MX"/>
        </w:rPr>
        <w:t>2.0 Introducción</w:t>
      </w:r>
      <w:bookmarkEnd w:id="2"/>
    </w:p>
    <w:p w:rsidR="00B706ED" w:rsidRPr="00B706ED" w:rsidRDefault="00B706ED" w:rsidP="00B706ED">
      <w:pPr>
        <w:rPr>
          <w:rFonts w:ascii="Arial" w:eastAsia="Calibri" w:hAnsi="Arial" w:cs="Arial"/>
          <w:sz w:val="24"/>
          <w:szCs w:val="24"/>
          <w:lang w:val="es-MX"/>
        </w:rPr>
      </w:pPr>
      <w:r w:rsidRPr="00B706ED">
        <w:rPr>
          <w:rFonts w:ascii="Arial" w:eastAsia="Calibri" w:hAnsi="Arial" w:cs="Arial"/>
          <w:sz w:val="24"/>
          <w:szCs w:val="24"/>
          <w:lang w:val="es-MX"/>
        </w:rPr>
        <w:t>Los criterios de aceptación definen las condiciones que debe cumplir cada funcionalidad para considerarse terminada. Se redactan en formato Dado/Cuando/Entonces para facilitar su trazabilidad en pruebas.</w:t>
      </w:r>
    </w:p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3" w:name="_Toc237346553"/>
      <w:r w:rsidRPr="00B706ED">
        <w:rPr>
          <w:rFonts w:ascii="Arial" w:eastAsia="MS Gothic" w:hAnsi="Arial" w:cs="Arial"/>
          <w:b/>
          <w:bCs/>
          <w:sz w:val="28"/>
          <w:szCs w:val="24"/>
          <w:lang w:val="es-MX"/>
        </w:rPr>
        <w:t>3.0 Formato de criterios</w:t>
      </w:r>
      <w:bookmarkEnd w:id="3"/>
    </w:p>
    <w:p w:rsidR="00B706ED" w:rsidRPr="00B706ED" w:rsidRDefault="00B706ED" w:rsidP="00B706ED">
      <w:pPr>
        <w:rPr>
          <w:rFonts w:ascii="Arial" w:eastAsia="Calibri" w:hAnsi="Arial" w:cs="Arial"/>
          <w:sz w:val="24"/>
          <w:szCs w:val="24"/>
          <w:lang w:val="es-MX"/>
        </w:rPr>
      </w:pPr>
      <w:r w:rsidRPr="00B706ED">
        <w:rPr>
          <w:rFonts w:ascii="Arial" w:eastAsia="Calibri" w:hAnsi="Arial" w:cs="Arial"/>
          <w:b/>
          <w:sz w:val="24"/>
          <w:szCs w:val="24"/>
          <w:lang w:val="es-MX"/>
        </w:rPr>
        <w:t>Cada criterio se identifica como CR-&lt;Módulo&gt;-&lt;Número&gt; y se expresa como:</w:t>
      </w:r>
    </w:p>
    <w:p w:rsidR="00B706ED" w:rsidRPr="00B706ED" w:rsidRDefault="00B706ED" w:rsidP="00B706ED">
      <w:pPr>
        <w:rPr>
          <w:rFonts w:ascii="Arial" w:eastAsia="Calibri" w:hAnsi="Arial" w:cs="Arial"/>
          <w:sz w:val="24"/>
          <w:szCs w:val="24"/>
          <w:lang w:val="es-MX"/>
        </w:rPr>
      </w:pPr>
      <w:r w:rsidRPr="00B706ED">
        <w:rPr>
          <w:rFonts w:ascii="Arial" w:eastAsia="Calibri" w:hAnsi="Arial" w:cs="Arial"/>
          <w:sz w:val="24"/>
          <w:szCs w:val="24"/>
          <w:lang w:val="es-MX"/>
        </w:rPr>
        <w:t>“Dado &lt;condición inicial&gt;, cuando &lt;se ejecuta la acción&gt;, entonces &lt;resultado esperado&gt;”.</w:t>
      </w:r>
    </w:p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4" w:name="_Toc237346554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4.0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Criterios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transversales</w:t>
      </w:r>
      <w:bookmarkEnd w:id="4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21"/>
        <w:gridCol w:w="7207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CR-GEN-01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usuario con sesión activa, cuando navega a un módulo sin permiso, entonces el sistema muestra acceso denegado.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CR-GEN-02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Dado un usuario inactivo más de 15 minutos, cuando intenta una operación, entonces la sesión caduca y se redirige al 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login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CR-GEN-03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listado, cuando se aplican filtros por año, mes, fondo o municipio, entonces los resultados se actualizan correctamente.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CR-GEN-04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Dado un error de servicio, cuando el API responde 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success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=false, entonces el sistema muestra el mensaje al usuario sin interrumpir la operación.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5" w:name="_Toc237346555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5.0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Módulo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CPH</w:t>
      </w:r>
      <w:bookmarkEnd w:id="5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10"/>
        <w:gridCol w:w="7218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lastRenderedPageBreak/>
              <w:t>CR-CPH-01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ejercicio y fondo, cuando se calcula la participación, entonces el resultado coincide con los coeficientes Art. 14 Fracción I/II/III aplicables.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CR-CPH-02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cálculo con garantía, cuando la estimación es menor al año pasado más inflación, entonces el sistema completa el monto faltante.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CR-CPH-03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ajuste, cuando se registra, entonces se guarda en la bitácora de ajustes con trazabilidad.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CR-CPH-04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cálculo aprobado, cuando se intenta modificar, entonces el sistema solo permite crear una nueva versión.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CR-CPH-05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el módulo de ajustes, cuando se genera el ajuste semestral/anual/ISN, entonces el monto se distribuye en los periodos definidos por la regla.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6" w:name="_Toc237346556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6.0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Módulo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DAMOP</w:t>
      </w:r>
      <w:bookmarkEnd w:id="6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45"/>
        <w:gridCol w:w="7183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CR-DAMOP-01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fondo y municipio, cuando se consultan participaciones, entonces se muestra el desglose del cálculo.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CR-DAMOP-02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pago con descuentos, cuando se aplican préstamos/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Banobras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/SAT, entonces el neto a pagar es correcto.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CR-DAMOP-03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organismo, cuando se registra con su clasificación y retenciones, entonces queda disponible para asignación.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CR-DAMOP-04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anticipo de participaciones, cuando se clona información del periodo anterior, entonces los datos se copian correctamente.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7" w:name="_Toc237346557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7.0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Módulo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DAF</w:t>
      </w:r>
      <w:bookmarkEnd w:id="7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13"/>
        <w:gridCol w:w="7215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CR-DAF-01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una solicitud autorizada, cuando se genera el número de orden de pago, entonces el folio se asigna secuencialmente.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CR-DAF-02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pago SPEI, cuando se registra la dispersión, entonces el sistema marca el pago como pagado.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CR-DAF-03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Dado un pago por fideicomiso, cuando se marca como 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Monex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, entonces se guarda la referencia.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CR-DAF-04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egreso, cuando se autoriza y finiquita, entonces queda registrado el flujo completo de aprobación.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8" w:name="_Toc237346558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8.0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Módulo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DPCP</w:t>
      </w:r>
      <w:bookmarkEnd w:id="8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34"/>
        <w:gridCol w:w="7194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CR-DPCP-01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municipio con presupuesto asignado, cuando se consulta, entonces se muestra el monto y su estatus.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lastRenderedPageBreak/>
              <w:t>CR-DPCP-02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una solicitud de presupuesto, cuando se autoriza, entonces cambia de estatus a autorizado y se notifica al área correspondiente.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CR-DPCP-03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presupuesto por recaudación, cuando se guarda, entonces el cálculo posterior lo considera.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9" w:name="_Toc237346559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9.0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Catálogos</w:t>
      </w:r>
      <w:bookmarkEnd w:id="9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19"/>
        <w:gridCol w:w="7209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CR-CAT-01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catálogo, cuando se registra un registro nuevo, entonces se valida obligatoriedad y unicidad.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CR-CAT-02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archivo de importación, cuando se sube al catálogo, entonces se validan las filas y se reportan errores.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CR-CAT-03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registro en uso por cálculos, cuando se intenta eliminar, entonces el sistema bloquea la eliminación.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0" w:name="_Toc237346560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10.0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Reportes</w:t>
      </w:r>
      <w:bookmarkEnd w:id="10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19"/>
        <w:gridCol w:w="7209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CR-REP-01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reporte, cuando se selecciona el tipo de exportación, entonces el archivo se genera en el formato solicitado (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xlsx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/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pdf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/</w:t>
            </w:r>
            <w:proofErr w:type="spellStart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docx</w:t>
            </w:r>
            <w:proofErr w:type="spellEnd"/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).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CR-REP-02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concentrado, cuando se genera, entonces los totales coinciden con la suma de los detalles.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CR-REP-03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el reporte de fondos, cuando se solicita, entonces se incluyen todos los fondos del periodo.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1" w:name="_Toc237346561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11.0 EFIRMA</w:t>
      </w:r>
      <w:bookmarkEnd w:id="11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13"/>
        <w:gridCol w:w="7215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CR-EFI-01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documento en bandeja por enviar, cuando se envía, entonces aparece en enviados con su estatus.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CR-EFI-02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documento recibido, cuando se firma, entonces el documento queda firmado y pasa al histórico.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2" w:name="_Toc237346562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12.0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Usuarios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, roles y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privilegios</w:t>
      </w:r>
      <w:bookmarkEnd w:id="12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09"/>
        <w:gridCol w:w="7219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CR-USR-01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usuario nuevo, cuando se crea con rol, entonces solo accede a los módulos de su rol.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CR-USR-02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usuario relacionado a municipio/organismo, cuando inicia sesión, entonces solo ve la información de su área.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CR-USR-03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Dado un cambio de contraseña, cuando el usuario lo solicita, entonces se valida y registra el nuevo acceso.</w:t>
            </w:r>
          </w:p>
        </w:tc>
      </w:tr>
    </w:tbl>
    <w:p w:rsidR="00B706ED" w:rsidRPr="00B706ED" w:rsidRDefault="00B706ED" w:rsidP="00B706ED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13" w:name="_Toc237346563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 xml:space="preserve">13.0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Criterios</w:t>
      </w:r>
      <w:proofErr w:type="spellEnd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no </w:t>
      </w:r>
      <w:proofErr w:type="spellStart"/>
      <w:r w:rsidRPr="00B706ED">
        <w:rPr>
          <w:rFonts w:ascii="Arial" w:eastAsia="MS Gothic" w:hAnsi="Arial" w:cs="Arial"/>
          <w:b/>
          <w:bCs/>
          <w:sz w:val="28"/>
          <w:szCs w:val="24"/>
          <w:lang w:val="en-US"/>
        </w:rPr>
        <w:t>funcionales</w:t>
      </w:r>
      <w:bookmarkEnd w:id="13"/>
      <w:proofErr w:type="spellEnd"/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1602"/>
        <w:gridCol w:w="7226"/>
      </w:tblGrid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B706ED">
              <w:rPr>
                <w:rFonts w:ascii="Arial" w:eastAsia="Calibri" w:hAnsi="Arial" w:cs="Arial"/>
                <w:b/>
                <w:sz w:val="24"/>
                <w:szCs w:val="24"/>
              </w:rPr>
              <w:t>Criterio</w:t>
            </w:r>
            <w:proofErr w:type="spellEnd"/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CR-NF-01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El sistema responde en tiempos adecuados para consultas al día con desglose.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CR-NF-02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La plataforma es responsiva en escritorio, portátil, tableta y móvil.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CR-NF-03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Las comunicaciones se realizan por HTTPS y los accesos se controlan por rol.</w:t>
            </w:r>
          </w:p>
        </w:tc>
      </w:tr>
      <w:tr w:rsidR="00B706ED" w:rsidRPr="00B706ED" w:rsidTr="00B706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</w:rPr>
              <w:t>CR-NF-04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06ED" w:rsidRPr="00B706ED" w:rsidRDefault="00B706ED" w:rsidP="00B706ED">
            <w:pPr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B706ED">
              <w:rPr>
                <w:rFonts w:ascii="Arial" w:eastAsia="Calibri" w:hAnsi="Arial" w:cs="Arial"/>
                <w:sz w:val="24"/>
                <w:szCs w:val="24"/>
                <w:lang w:val="es-MX"/>
              </w:rPr>
              <w:t>Los cálculos quedan registrados con bitácora y trazabilidad para auditoría.</w:t>
            </w:r>
          </w:p>
        </w:tc>
      </w:tr>
    </w:tbl>
    <w:p w:rsidR="00B706ED" w:rsidRPr="00B706ED" w:rsidRDefault="00B706ED" w:rsidP="00B706ED">
      <w:pPr>
        <w:rPr>
          <w:rFonts w:ascii="Arial" w:eastAsia="Calibri" w:hAnsi="Arial" w:cs="Arial"/>
          <w:color w:val="000000"/>
          <w:sz w:val="24"/>
          <w:szCs w:val="24"/>
          <w:lang w:val="es-MX"/>
        </w:rPr>
      </w:pPr>
      <w:r w:rsidRPr="00B706ED">
        <w:rPr>
          <w:rFonts w:ascii="Arial" w:eastAsia="Calibri" w:hAnsi="Arial" w:cs="Arial"/>
          <w:sz w:val="24"/>
          <w:szCs w:val="24"/>
          <w:lang w:val="es-MX"/>
        </w:rPr>
        <w:br w:type="page"/>
      </w:r>
      <w:bookmarkStart w:id="14" w:name="_GoBack"/>
      <w:bookmarkEnd w:id="14"/>
    </w:p>
    <w:p w:rsidR="00F959E2" w:rsidRDefault="00F959E2">
      <w:pPr>
        <w:rPr>
          <w:rFonts w:ascii="Arial" w:hAnsi="Arial" w:cs="Arial"/>
          <w:lang w:val="es-CO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B706ED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5" w:name="_Toc237346564"/>
      <w:r>
        <w:rPr>
          <w:rFonts w:ascii="Arial" w:hAnsi="Arial" w:cs="Arial"/>
          <w:b/>
          <w:color w:val="000000" w:themeColor="text1"/>
          <w:sz w:val="28"/>
          <w:lang w:val="es-CO"/>
        </w:rPr>
        <w:t>14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5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01A" w:rsidRDefault="0091301A" w:rsidP="00423135">
      <w:pPr>
        <w:spacing w:after="0" w:line="240" w:lineRule="auto"/>
      </w:pPr>
      <w:r>
        <w:separator/>
      </w:r>
    </w:p>
  </w:endnote>
  <w:endnote w:type="continuationSeparator" w:id="0">
    <w:p w:rsidR="0091301A" w:rsidRDefault="0091301A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6E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6E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01A" w:rsidRDefault="0091301A" w:rsidP="00423135">
      <w:pPr>
        <w:spacing w:after="0" w:line="240" w:lineRule="auto"/>
      </w:pPr>
      <w:r>
        <w:separator/>
      </w:r>
    </w:p>
  </w:footnote>
  <w:footnote w:type="continuationSeparator" w:id="0">
    <w:p w:rsidR="0091301A" w:rsidRDefault="0091301A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1"/>
  </w:num>
  <w:num w:numId="13">
    <w:abstractNumId w:val="14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1301A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06ED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B4473C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B706ED"/>
    <w:pPr>
      <w:spacing w:after="0" w:line="240" w:lineRule="auto"/>
    </w:pPr>
    <w:rPr>
      <w:rFonts w:ascii="Cambria" w:eastAsia="MS Mincho" w:hAnsi="Cambria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84969-EAF7-447B-AEC2-30EA0B07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7</Pages>
  <Words>1097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d0f65ac2-feca-4c1f-92fc-379246247184</vt:lpwstr>
  </property>
</Properties>
</file>