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spacing w:lineRule="exact" w:line="216"/>
        <w:ind w:left="14" w:right="14" w:hanging="0"/>
        <w:jc w:val="center"/>
        <w:rPr>
          <w:sz w:val="22"/>
          <w:szCs w:val="22"/>
        </w:rPr>
      </w:pPr>
      <w:r>
        <w:rPr>
          <w:b/>
          <w:color w:val="000000"/>
          <w:sz w:val="22"/>
          <w:szCs w:val="22"/>
        </w:rPr>
        <w:t>CONTRATO DE LOCACIÓN</w:t>
      </w:r>
    </w:p>
    <w:p>
      <w:pPr>
        <w:pStyle w:val="Normal"/>
        <w:spacing w:lineRule="exact" w:line="216"/>
        <w:ind w:left="14" w:right="14" w:hanging="0"/>
        <w:jc w:val="both"/>
        <w:rPr>
          <w:color w:val="000000"/>
          <w:sz w:val="20"/>
          <w:szCs w:val="20"/>
        </w:rPr>
      </w:pPr>
      <w:r>
        <w:rPr>
          <w:color w:val="000000"/>
          <w:sz w:val="20"/>
          <w:szCs w:val="20"/>
        </w:rPr>
      </w:r>
    </w:p>
    <w:p>
      <w:pPr>
        <w:pStyle w:val="Llenarguiones"/>
        <w:rPr/>
      </w:pPr>
      <w:r>
        <w:rPr>
          <w:color w:val="000000"/>
          <w:sz w:val="20"/>
          <w:szCs w:val="20"/>
        </w:rPr>
        <w:t xml:space="preserve">Entre el señor </w:t>
      </w:r>
      <w:r>
        <w:rPr>
          <w:b/>
          <w:color w:val="000000"/>
          <w:sz w:val="20"/>
          <w:szCs w:val="20"/>
        </w:rPr>
        <w:t>FEDERICO JAVIER GAZZE POLICANI</w:t>
      </w:r>
      <w:r>
        <w:rPr>
          <w:color w:val="000000"/>
          <w:sz w:val="20"/>
          <w:szCs w:val="20"/>
        </w:rPr>
        <w:t xml:space="preserve">, argentino, soltero, </w:t>
      </w:r>
      <w:r>
        <w:rPr>
          <w:b/>
          <w:color w:val="000000"/>
          <w:sz w:val="20"/>
          <w:szCs w:val="20"/>
        </w:rPr>
        <w:t>D.N.I. Nº 27.148.164</w:t>
      </w:r>
      <w:r>
        <w:rPr>
          <w:color w:val="000000"/>
          <w:sz w:val="20"/>
          <w:szCs w:val="20"/>
        </w:rPr>
        <w:t xml:space="preserve">, en adelante EL LOCADOR por una parte, y por la otra el señor </w:t>
      </w:r>
      <w:bookmarkStart w:id="0" w:name="__DdeLink__212_508576424"/>
      <w:r>
        <w:rPr>
          <w:b/>
          <w:bCs/>
          <w:color w:val="000000"/>
          <w:sz w:val="20"/>
          <w:szCs w:val="20"/>
        </w:rPr>
        <w:fldChar w:fldCharType="begin"/>
      </w:r>
      <w:r>
        <w:rPr>
          <w:sz w:val="20"/>
          <w:b/>
          <w:szCs w:val="20"/>
          <w:bCs/>
        </w:rPr>
        <w:instrText> MERGEFIELD INQUILINO_NOMBRE </w:instrText>
      </w:r>
      <w:r>
        <w:rPr>
          <w:sz w:val="20"/>
          <w:b/>
          <w:szCs w:val="20"/>
          <w:bCs/>
        </w:rPr>
        <w:fldChar w:fldCharType="separate"/>
      </w:r>
      <w:r>
        <w:rPr>
          <w:sz w:val="20"/>
          <w:b/>
          <w:szCs w:val="20"/>
          <w:bCs/>
        </w:rPr>
        <w:t>&lt;INQUILINO_NOMBRE&gt;</w:t>
      </w:r>
      <w:r>
        <w:rPr>
          <w:sz w:val="20"/>
          <w:b/>
          <w:szCs w:val="20"/>
          <w:bCs/>
        </w:rPr>
        <w:fldChar w:fldCharType="end"/>
      </w:r>
      <w:r>
        <w:rPr>
          <w:color w:val="000000"/>
          <w:sz w:val="20"/>
          <w:szCs w:val="20"/>
        </w:rPr>
        <w:t>,</w:t>
      </w:r>
      <w:r>
        <w:rPr>
          <w:b/>
          <w:bCs/>
          <w:color w:val="000000"/>
          <w:sz w:val="20"/>
          <w:szCs w:val="20"/>
        </w:rPr>
        <w:t xml:space="preserve"> </w:t>
      </w:r>
      <w:r>
        <w:rPr>
          <w:b/>
          <w:bCs/>
          <w:color w:val="000000"/>
          <w:sz w:val="20"/>
          <w:szCs w:val="20"/>
        </w:rPr>
        <w:fldChar w:fldCharType="begin"/>
      </w:r>
      <w:r>
        <w:rPr>
          <w:sz w:val="20"/>
          <w:b/>
          <w:szCs w:val="20"/>
          <w:bCs/>
        </w:rPr>
        <w:instrText> MERGEFIELD INQUILINO_NACIONALIDAD </w:instrText>
      </w:r>
      <w:r>
        <w:rPr>
          <w:sz w:val="20"/>
          <w:b/>
          <w:szCs w:val="20"/>
          <w:bCs/>
        </w:rPr>
        <w:fldChar w:fldCharType="separate"/>
      </w:r>
      <w:r>
        <w:rPr>
          <w:sz w:val="20"/>
          <w:b/>
          <w:szCs w:val="20"/>
          <w:bCs/>
        </w:rPr>
        <w:t>&lt;INQUILINO_NACIONALIDAD&gt;</w:t>
      </w:r>
      <w:r>
        <w:rPr>
          <w:sz w:val="20"/>
          <w:b/>
          <w:szCs w:val="20"/>
          <w:bCs/>
        </w:rPr>
        <w:fldChar w:fldCharType="end"/>
      </w:r>
      <w:r>
        <w:rPr>
          <w:b/>
          <w:bCs/>
          <w:color w:val="000000"/>
          <w:sz w:val="20"/>
          <w:szCs w:val="20"/>
        </w:rPr>
        <w:t xml:space="preserve">, D.N.I. N° </w:t>
      </w:r>
      <w:r>
        <w:rPr>
          <w:b/>
          <w:bCs/>
          <w:color w:val="000000"/>
          <w:sz w:val="20"/>
          <w:szCs w:val="20"/>
        </w:rPr>
        <w:fldChar w:fldCharType="begin"/>
      </w:r>
      <w:r>
        <w:rPr>
          <w:sz w:val="20"/>
          <w:b/>
          <w:szCs w:val="20"/>
          <w:bCs/>
        </w:rPr>
        <w:instrText> MERGEFIELD INQUILINO_DNI </w:instrText>
      </w:r>
      <w:r>
        <w:rPr>
          <w:sz w:val="20"/>
          <w:b/>
          <w:szCs w:val="20"/>
          <w:bCs/>
        </w:rPr>
        <w:fldChar w:fldCharType="separate"/>
      </w:r>
      <w:r>
        <w:rPr>
          <w:sz w:val="20"/>
          <w:b/>
          <w:szCs w:val="20"/>
          <w:bCs/>
        </w:rPr>
        <w:t>&lt;INQUILINO_DNI&gt;</w:t>
      </w:r>
      <w:r>
        <w:rPr>
          <w:sz w:val="20"/>
          <w:b/>
          <w:szCs w:val="20"/>
          <w:bCs/>
        </w:rPr>
        <w:fldChar w:fldCharType="end"/>
      </w:r>
      <w:bookmarkEnd w:id="0"/>
      <w:r>
        <w:rPr>
          <w:color w:val="000000"/>
          <w:sz w:val="20"/>
          <w:szCs w:val="20"/>
        </w:rPr>
        <w:t>, en adelante EL LOCATARIO, convienen en celebrar el presente contrato de locación, que se regirá conforme a las cláusulas y condiciones que a continuación se detallan:</w:t>
        <w:tab/>
      </w:r>
    </w:p>
    <w:p>
      <w:pPr>
        <w:pStyle w:val="Llenarguiones"/>
        <w:rPr/>
      </w:pPr>
      <w:r>
        <w:rPr>
          <w:sz w:val="20"/>
          <w:szCs w:val="20"/>
        </w:rPr>
        <w:t xml:space="preserve">PRIMERA: El LOCADOR cede en locación y EL LOCATARIO acepta de plena conformidad un inmueble ubicado en  </w:t>
      </w:r>
      <w:r>
        <w:rPr>
          <w:sz w:val="20"/>
          <w:szCs w:val="20"/>
        </w:rPr>
        <w:fldChar w:fldCharType="begin"/>
      </w:r>
      <w:r>
        <w:rPr>
          <w:sz w:val="20"/>
          <w:szCs w:val="20"/>
        </w:rPr>
        <w:instrText> MERGEFIELD PROPIEDAD_DIRECCION </w:instrText>
      </w:r>
      <w:r>
        <w:rPr>
          <w:sz w:val="20"/>
          <w:szCs w:val="20"/>
        </w:rPr>
        <w:fldChar w:fldCharType="separate"/>
      </w:r>
      <w:r>
        <w:rPr>
          <w:sz w:val="20"/>
          <w:szCs w:val="20"/>
        </w:rPr>
        <w:t>&lt;PROPIEDAD_DIRECCION&gt;</w:t>
      </w:r>
      <w:r>
        <w:rPr>
          <w:sz w:val="20"/>
          <w:szCs w:val="20"/>
        </w:rPr>
        <w:fldChar w:fldCharType="end"/>
      </w:r>
      <w:r>
        <w:rPr>
          <w:sz w:val="20"/>
          <w:szCs w:val="20"/>
        </w:rPr>
        <w:t xml:space="preserve">, compuesto de </w:t>
      </w:r>
      <w:r>
        <w:rPr>
          <w:sz w:val="20"/>
          <w:szCs w:val="20"/>
        </w:rPr>
        <w:fldChar w:fldCharType="begin"/>
      </w:r>
      <w:r>
        <w:rPr>
          <w:sz w:val="20"/>
          <w:szCs w:val="20"/>
        </w:rPr>
        <w:instrText> MERGEFIELD PROPIEDAD_CARACTERISTICAS </w:instrText>
      </w:r>
      <w:r>
        <w:rPr>
          <w:sz w:val="20"/>
          <w:szCs w:val="20"/>
        </w:rPr>
        <w:fldChar w:fldCharType="separate"/>
      </w:r>
      <w:r>
        <w:rPr>
          <w:sz w:val="20"/>
          <w:szCs w:val="20"/>
        </w:rPr>
        <w:t>&lt;PROPIEDAD_CARACTERISTICAS&gt;</w:t>
      </w:r>
      <w:r>
        <w:rPr>
          <w:sz w:val="20"/>
          <w:szCs w:val="20"/>
        </w:rPr>
        <w:fldChar w:fldCharType="end"/>
      </w:r>
      <w:r>
        <w:rPr>
          <w:sz w:val="20"/>
          <w:szCs w:val="20"/>
        </w:rPr>
        <w:t>. Todo de acuerdo al detalle e inventario adjunto al presente contrato.</w:t>
        <w:tab/>
      </w:r>
    </w:p>
    <w:p>
      <w:pPr>
        <w:pStyle w:val="Llenarguiones"/>
        <w:rPr/>
      </w:pPr>
      <w:r>
        <w:rPr>
          <w:sz w:val="20"/>
          <w:szCs w:val="20"/>
        </w:rPr>
        <w:t xml:space="preserve">SEGUNDA: Esta locación ha sido convenida por el término de veinticuatro (24) meses computados a partir del día </w:t>
      </w:r>
      <w:r>
        <w:rPr>
          <w:sz w:val="20"/>
          <w:szCs w:val="20"/>
        </w:rPr>
        <w:fldChar w:fldCharType="begin"/>
      </w:r>
      <w:r>
        <w:rPr>
          <w:sz w:val="20"/>
          <w:szCs w:val="20"/>
        </w:rPr>
        <w:instrText> MERGEFIELD CONTRATO_FECHA_INICIO </w:instrText>
      </w:r>
      <w:r>
        <w:rPr>
          <w:sz w:val="20"/>
          <w:szCs w:val="20"/>
        </w:rPr>
        <w:fldChar w:fldCharType="separate"/>
      </w:r>
      <w:r>
        <w:rPr>
          <w:sz w:val="20"/>
          <w:szCs w:val="20"/>
        </w:rPr>
        <w:t>&lt;CONTRATO_FECHA_INICIO&gt;</w:t>
      </w:r>
      <w:r>
        <w:rPr>
          <w:sz w:val="20"/>
          <w:szCs w:val="20"/>
        </w:rPr>
        <w:fldChar w:fldCharType="end"/>
      </w:r>
      <w:r>
        <w:rPr>
          <w:sz w:val="20"/>
          <w:szCs w:val="20"/>
        </w:rPr>
        <w:t xml:space="preserve"> venciendo en consecuencia el día </w:t>
      </w:r>
      <w:r>
        <w:rPr>
          <w:sz w:val="20"/>
          <w:szCs w:val="20"/>
        </w:rPr>
        <w:fldChar w:fldCharType="begin"/>
      </w:r>
      <w:r>
        <w:rPr>
          <w:sz w:val="20"/>
          <w:szCs w:val="20"/>
        </w:rPr>
        <w:instrText> MERGEFIELD CONTRATO_FECHA_FIN </w:instrText>
      </w:r>
      <w:r>
        <w:rPr>
          <w:sz w:val="20"/>
          <w:szCs w:val="20"/>
        </w:rPr>
        <w:fldChar w:fldCharType="separate"/>
      </w:r>
      <w:r>
        <w:rPr>
          <w:sz w:val="20"/>
          <w:szCs w:val="20"/>
        </w:rPr>
        <w:t>&lt;CONTRATO_FECHA_FIN&gt;</w:t>
      </w:r>
      <w:r>
        <w:rPr>
          <w:sz w:val="20"/>
          <w:szCs w:val="20"/>
        </w:rPr>
        <w:fldChar w:fldCharType="end"/>
      </w:r>
      <w:r>
        <w:rPr>
          <w:sz w:val="20"/>
          <w:szCs w:val="20"/>
        </w:rPr>
        <w:t>, oportunidad en que EL LOCATARIO deberá desocupar el inmueble en perfectas condiciones de habitabilidad, libre de toda persona, cosas y/o enseres. La no restitución del inmueble y no entrega de las llaves en la fecha mencionada obligará a EL LOCATARIO al pago de una multa equivalente al cien por ciento (100%) del último alquiler por cada mes de atraso y hasta su restitución por los daños y perjuicios que esa conducta le ocasione a EL LOCADOR. Esta multa es independiente del alquiler pactado y deberá pagarse juntamente con el mismo.</w:t>
        <w:tab/>
      </w:r>
    </w:p>
    <w:p>
      <w:pPr>
        <w:pStyle w:val="Llenarguiones"/>
        <w:rPr>
          <w:sz w:val="22"/>
          <w:szCs w:val="22"/>
        </w:rPr>
      </w:pPr>
      <w:r>
        <w:rPr>
          <w:sz w:val="20"/>
          <w:szCs w:val="20"/>
        </w:rPr>
        <w:t>TERCERA: El alquiler se pacta por períodos de mes entero y aunque EL LOCATARIO se mudara antes de finalizar un mes ya empezado, pagará íntegramente el alquiler correspondiente a ese mes. En el caso de que EL LOCATARIO deseare rescindir el presente contrato de locación, las partes convienen que deberá hacerlo de acuerdo a lo estipulado por la Ley Nacional de alquileres Nº 23.091, Cap. II, artículo 8°.</w:t>
        <w:tab/>
      </w:r>
    </w:p>
    <w:p>
      <w:pPr>
        <w:pStyle w:val="Llenarguiones"/>
        <w:rPr/>
      </w:pPr>
      <w:r>
        <w:rPr>
          <w:sz w:val="20"/>
          <w:szCs w:val="20"/>
        </w:rPr>
        <w:t xml:space="preserve">CUARTA: Se establece un alquiler mensual de pesos </w:t>
      </w:r>
      <w:r>
        <w:rPr>
          <w:sz w:val="20"/>
          <w:szCs w:val="20"/>
        </w:rPr>
        <w:fldChar w:fldCharType="begin"/>
      </w:r>
      <w:r>
        <w:rPr>
          <w:sz w:val="20"/>
          <w:szCs w:val="20"/>
        </w:rPr>
        <w:instrText> MERGEFIELD CONTRATO_CUOTA1 </w:instrText>
      </w:r>
      <w:r>
        <w:rPr>
          <w:sz w:val="20"/>
          <w:szCs w:val="20"/>
        </w:rPr>
        <w:fldChar w:fldCharType="separate"/>
      </w:r>
      <w:r>
        <w:rPr>
          <w:sz w:val="20"/>
          <w:szCs w:val="20"/>
        </w:rPr>
        <w:t>&lt;CONTRATO_CUOTA1&gt;</w:t>
      </w:r>
      <w:r>
        <w:rPr>
          <w:sz w:val="20"/>
          <w:szCs w:val="20"/>
        </w:rPr>
        <w:fldChar w:fldCharType="end"/>
      </w:r>
      <w:r>
        <w:rPr>
          <w:sz w:val="20"/>
          <w:szCs w:val="20"/>
        </w:rPr>
        <w:t xml:space="preserve">. Este valor tendrá vigencia para el alquiler de los meses correspondiente al período </w:t>
      </w:r>
      <w:r>
        <w:rPr>
          <w:sz w:val="20"/>
          <w:szCs w:val="20"/>
        </w:rPr>
        <w:fldChar w:fldCharType="begin"/>
      </w:r>
      <w:r>
        <w:rPr>
          <w:sz w:val="20"/>
          <w:szCs w:val="20"/>
        </w:rPr>
        <w:instrText> MERGEFIELD CONTRATO_PERIODO1 </w:instrText>
      </w:r>
      <w:r>
        <w:rPr>
          <w:sz w:val="20"/>
          <w:szCs w:val="20"/>
        </w:rPr>
        <w:fldChar w:fldCharType="separate"/>
      </w:r>
      <w:r>
        <w:rPr>
          <w:sz w:val="20"/>
          <w:szCs w:val="20"/>
        </w:rPr>
        <w:t>&lt;CONTRATO_PERIODO1&gt;</w:t>
      </w:r>
      <w:r>
        <w:rPr>
          <w:sz w:val="20"/>
          <w:szCs w:val="20"/>
        </w:rPr>
        <w:fldChar w:fldCharType="end"/>
      </w:r>
      <w:r>
        <w:rPr>
          <w:sz w:val="20"/>
          <w:szCs w:val="20"/>
        </w:rPr>
        <w:t xml:space="preserve">. A partir del </w:t>
      </w:r>
      <w:r>
        <w:rPr>
          <w:sz w:val="20"/>
          <w:szCs w:val="20"/>
        </w:rPr>
        <w:fldChar w:fldCharType="begin"/>
      </w:r>
      <w:r>
        <w:rPr>
          <w:sz w:val="20"/>
          <w:szCs w:val="20"/>
        </w:rPr>
        <w:instrText> MERGEFIELD CONTRATO_FECHA_MITAD </w:instrText>
      </w:r>
      <w:r>
        <w:rPr>
          <w:sz w:val="20"/>
          <w:szCs w:val="20"/>
        </w:rPr>
        <w:fldChar w:fldCharType="separate"/>
      </w:r>
      <w:r>
        <w:rPr>
          <w:sz w:val="20"/>
          <w:szCs w:val="20"/>
        </w:rPr>
        <w:t>&lt;CONTRATO_FECHA_MITAD&gt;</w:t>
      </w:r>
      <w:r>
        <w:rPr>
          <w:sz w:val="20"/>
          <w:szCs w:val="20"/>
        </w:rPr>
        <w:fldChar w:fldCharType="end"/>
      </w:r>
      <w:r>
        <w:rPr>
          <w:sz w:val="20"/>
          <w:szCs w:val="20"/>
        </w:rPr>
        <w:t xml:space="preserve"> se establece un alquiler mensual de pesos </w:t>
      </w:r>
      <w:r>
        <w:rPr>
          <w:sz w:val="20"/>
          <w:szCs w:val="20"/>
        </w:rPr>
        <w:fldChar w:fldCharType="begin"/>
      </w:r>
      <w:r>
        <w:rPr>
          <w:sz w:val="20"/>
          <w:szCs w:val="20"/>
        </w:rPr>
        <w:instrText> MERGEFIELD CONTRATO_CUOTA2 </w:instrText>
      </w:r>
      <w:r>
        <w:rPr>
          <w:sz w:val="20"/>
          <w:szCs w:val="20"/>
        </w:rPr>
        <w:fldChar w:fldCharType="separate"/>
      </w:r>
      <w:r>
        <w:rPr>
          <w:sz w:val="20"/>
          <w:szCs w:val="20"/>
        </w:rPr>
        <w:t>&lt;CONTRATO_CUOTA2&gt;</w:t>
      </w:r>
      <w:r>
        <w:rPr>
          <w:sz w:val="20"/>
          <w:szCs w:val="20"/>
        </w:rPr>
        <w:fldChar w:fldCharType="end"/>
      </w:r>
      <w:r>
        <w:rPr>
          <w:sz w:val="20"/>
          <w:szCs w:val="20"/>
        </w:rPr>
        <w:t xml:space="preserve"> que rige hasta el </w:t>
      </w:r>
      <w:r>
        <w:rPr>
          <w:sz w:val="20"/>
          <w:szCs w:val="20"/>
        </w:rPr>
        <w:fldChar w:fldCharType="begin"/>
      </w:r>
      <w:r>
        <w:rPr>
          <w:sz w:val="20"/>
          <w:szCs w:val="20"/>
        </w:rPr>
        <w:instrText> MERGEFIELD CONTRATO_FECHA_FIN </w:instrText>
      </w:r>
      <w:r>
        <w:rPr>
          <w:sz w:val="20"/>
          <w:szCs w:val="20"/>
        </w:rPr>
        <w:fldChar w:fldCharType="separate"/>
      </w:r>
      <w:r>
        <w:rPr>
          <w:sz w:val="20"/>
          <w:szCs w:val="20"/>
        </w:rPr>
        <w:t>&lt;CONTRATO_FECHA_FIN&gt;</w:t>
      </w:r>
      <w:r>
        <w:rPr>
          <w:sz w:val="20"/>
          <w:szCs w:val="20"/>
        </w:rPr>
        <w:fldChar w:fldCharType="end"/>
      </w:r>
      <w:r>
        <w:rPr>
          <w:sz w:val="20"/>
          <w:szCs w:val="20"/>
        </w:rPr>
        <w:t>. El alquiler mensual será pagadero en forma anticipada y en efectivo del día uno al día nueve de cada mes, en calle Salta 2862 de la ciudad de Santa Fe o donde EL LOCADOR indique en el futuro en forma fehaciente y oportuna.</w:t>
        <w:tab/>
      </w:r>
    </w:p>
    <w:p>
      <w:pPr>
        <w:pStyle w:val="Llenarguiones"/>
        <w:rPr>
          <w:sz w:val="22"/>
          <w:szCs w:val="22"/>
        </w:rPr>
      </w:pPr>
      <w:r>
        <w:rPr>
          <w:sz w:val="20"/>
          <w:szCs w:val="20"/>
        </w:rPr>
        <w:t xml:space="preserve">QUINTA: El sellado de este contrato será abonado totalmente por EL LOCATARIO. </w:t>
        <w:tab/>
      </w:r>
    </w:p>
    <w:p>
      <w:pPr>
        <w:pStyle w:val="Llenarguiones"/>
        <w:rPr>
          <w:sz w:val="22"/>
          <w:szCs w:val="22"/>
        </w:rPr>
      </w:pPr>
      <w:r>
        <w:rPr>
          <w:sz w:val="20"/>
          <w:szCs w:val="20"/>
        </w:rPr>
        <w:t>SEXTA: Queda especialmente convenido que el destino del inmueble objeto del presente contrato es exclusivamente para vivienda familiar y que esa ocupación no podrá variarse ni sub-arrendarse, ni aún parcialmente, siendo el contrato intransferible a terceros y prohibida la cesión total o parcial de esta locación, como así también los derechos y acciones emergentes de cada una de sus cláusulas.</w:t>
        <w:tab/>
      </w:r>
    </w:p>
    <w:p>
      <w:pPr>
        <w:pStyle w:val="Llenarguiones"/>
        <w:rPr>
          <w:sz w:val="22"/>
          <w:szCs w:val="22"/>
        </w:rPr>
      </w:pPr>
      <w:r>
        <w:rPr>
          <w:sz w:val="20"/>
          <w:szCs w:val="20"/>
        </w:rPr>
        <w:t>SÉPTIMA: EL LOCATARIO recibe el inmueble locado en perfectas condiciones de uso y conservación, previamente constatado por las partes, obligándose al vencimiento del contrato a restituir la propiedad y artefactos citados en las mismas condiciones que los recibe, salvo los deterioros causados por el buen uso y el mero transcurso del tiempo; caso contrario será por cuenta exclusiva de EL LOCATARIO y/o EL GARANTE el pago de las refacciones que fuera menester efectuar para dejar el inmueble y los artefactos citados en el estado en que se encontraban en el momento de iniciarse la locación, en el plazo de cinco (5) días de finalizado el contrato. En razón de hacerse entrega en este acto del inmueble recién pintado, las partes convienen que EL LOCATARIO deberá pintarlo nuevamente con los mismos colores y calidad de pintura antes de restituirlo a EL LOCADOR.</w:t>
        <w:tab/>
      </w:r>
    </w:p>
    <w:p>
      <w:pPr>
        <w:pStyle w:val="Llenarguiones"/>
        <w:rPr>
          <w:sz w:val="22"/>
          <w:szCs w:val="22"/>
        </w:rPr>
      </w:pPr>
      <w:r>
        <w:rPr>
          <w:sz w:val="20"/>
          <w:szCs w:val="20"/>
        </w:rPr>
        <w:t>OCTAVA: Será a cargo exclusivo de EL LOCATARIO el pago de los impuestos, tasas, contribuciones y servicios (energía eléctrica, Aguas Provinciales de Santa Fe, tasa general de inmuebles, impuesto inmobiliario, factura de teléfonos, gas natural, etc.), gastos centrales y/o expensas comunes ordinarias y extraordinarias que devengue la unidad locada y cualquier otro impuesto, tasa, contribución o servicio que grave al inmueble al presente, o que se cree durante la vigencia de la locación. El pago del Impuesto Inmobiliario, Tasa General de Inmuebles y Aguas Santafesinas S.A. deberá hacerlo EL LOCATARIO en calle Salta 2862 de la ciudad de Santa Fe, dentro del plazo fijado por los respectivos organismos como primer vencimiento para cada uno de los comprobantes emitidos, más el impuesto al valor agregado correspondiente. La falta de cumplimiento de ésta obligación producirá la mora automática sin necesidad de interpelación judicial o extrajudicial alguna, debiéndose intereses moratorios y punitorios por cada día de atraso en el pago conforme a las pautas previstas en la cláusula DÉCIMA, pudiendo el señor FEDERICO JAVIER GAZZE POLICANI promover el cobro por la vía ejecutiva pertinente. EL LOCATARIO se obliga a efectuar la transferencia a su nombre de los servicios de gas natural y energía eléctrica y mantenerlos hasta el término de la locación y abonar el consumo y cualquier otro gasto atinente a su prestación como así también al pago de expensas comunes y/o extraordinarias. Si quedaran facturaciones a cargo de EL LOCATARIO al concluirse la locación por cualquiera de los servicios mencionados y EL LOCADOR resolviera abonarlos, tendrá derecho a reclamar el reintegro por vía ejecutiva, como si se tratase de una deuda de plazo vencido, líquida y exigible, más intereses según pauta la cláusula DÉCIMA.</w:t>
        <w:tab/>
      </w:r>
    </w:p>
    <w:p>
      <w:pPr>
        <w:pStyle w:val="Llenarguiones"/>
        <w:rPr>
          <w:sz w:val="22"/>
          <w:szCs w:val="22"/>
        </w:rPr>
      </w:pPr>
      <w:r>
        <w:rPr>
          <w:sz w:val="20"/>
          <w:szCs w:val="20"/>
        </w:rPr>
        <w:t>NOVENA: EL LOCATARIO se obliga a permitir el acceso de EL LOCADOR o sus representantes legales acreditados para revisar, reparar o exigir, en su caso, los arreglos que fueran necesarios efectuar en la propiedad y en los servicios y/o artefactos, o de cualquier otro tipo existente en el inmueble, a cargo de EL LOCATARIO si correspondiere y/o de quien resulte responsable de los mismos. Igualmente, EL LOCATARIO no podrá producir mejoras, reformas o reparaciones que importen modificación alguna en el inmueble y/o partes comunes o reparaciones normales sin autorización expresa por escrito de EL LOCADOR o del propietario, según sea el caso, y las que realice debidamente autorizadas quedarán a beneficio del propietario, sin obligación de abonar su costo o indemnización por tal motivo; si contraviene esta prohibición, EL LOCADOR podrá dejar las mejoras sin compensación alguna, por cuenta y orden y a cargo de EL LOCATARIO, que responderá también por daños y perjuicios irrogados. Las sumas que se adeuden por este motivo devengarán intereses en la forma establecida en la cláusula DÉCIMA.</w:t>
        <w:tab/>
      </w:r>
    </w:p>
    <w:p>
      <w:pPr>
        <w:pStyle w:val="Llenarguiones"/>
        <w:rPr>
          <w:sz w:val="22"/>
          <w:szCs w:val="22"/>
        </w:rPr>
      </w:pPr>
      <w:r>
        <w:rPr>
          <w:sz w:val="20"/>
          <w:szCs w:val="20"/>
        </w:rPr>
        <w:t>DÉCIMA: Las sumas adeudadas no abonadas según las modalidades estipuladas anteriormente devengarán, además de los intereses convencionales, intereses moratorios y/o punitorios equivalentes al doble de la tasa que para sus operaciones de adelanto transitorio en cuenta corriente cobre en esa fecha el NUEVO BANCO DE SANTA FE S.A. por cada día de atraso en el pago del alquiler, pudiendo EL LOCADOR rehusar el alquiler si no se paga conjuntamente con el interés punitorio adeudado, todo ello sin perjuicio del derecho de EL LOCADOR de demandar su cumplimiento por vías judiciales contra EL LOCATARIO o EL GARANTE, sin necesidad de interpelación judicial o extrajudicial alguna; los gastos y honorarios que demanden los reclamos judiciales y extrajudiciales serán a cargo exclusivo de EL LOCATARIO y EL GARANTE, al igual que los honorarios que ellos generen. De aceptar EL LOCADOR pagos especiales, queda especialmente autorizado por EL LOCATARIO a imputarlos en la forma y proporción que considere conveniente. La falta de pago de dos (2) períodos consecutivos de alquiler faculta a EL LOCADOR a demandar el desalojo, sin perjuicio del derecho a ejercer las demás acciones legales que correspondieren, siendo los gastos y honorarios a cargo de EL LOCATARIO.</w:t>
        <w:tab/>
      </w:r>
    </w:p>
    <w:p>
      <w:pPr>
        <w:pStyle w:val="Llenarguiones"/>
        <w:rPr>
          <w:sz w:val="22"/>
          <w:szCs w:val="22"/>
        </w:rPr>
      </w:pPr>
      <w:r>
        <w:rPr>
          <w:sz w:val="20"/>
          <w:szCs w:val="20"/>
        </w:rPr>
        <w:t>DÉCIMO-PRIMERA: Si EL LOCATARIO desocupare el inmueble antes del vencimiento del contrato sin hacer uso de la opción resolutoria de ley, si correspondiere, deberá abonar los alquileres por todo su término como si se tratare de una deuda de plazo vencido y exigible pudiendo reclamarse por vía ejecutiva.</w:t>
        <w:tab/>
      </w:r>
    </w:p>
    <w:p>
      <w:pPr>
        <w:pStyle w:val="Llenarguiones"/>
        <w:rPr>
          <w:sz w:val="22"/>
          <w:szCs w:val="22"/>
        </w:rPr>
      </w:pPr>
      <w:r>
        <w:rPr>
          <w:sz w:val="20"/>
          <w:szCs w:val="20"/>
        </w:rPr>
        <w:t>DÉCIMA-SEGUNDA: El incumplimiento por parte de EL LOCATARIO de cualquiera de las obligaciones contraídas producirá la rescisión del contrato por su culpa, sin necesidad de interpelación judicial o extrajudicial, pudiendo EL LOCADOR demandar el desalojo inmediato del inmueble y el pago de los alquileres de una sola vez por todo el término de la locación como si se tratase de un contrato de plazo vencido, con más el resarcimiento de los daños y perjuicios irrogados, intereses moratorios y punitorios convenidos, quedando EL LOCADOR expresamente facultado para designar martillero en las acciones judiciales que promueva, siendo también a cargo de EL LOCATARIO los gastos judiciales o de otra naturaleza que se ocasionaren.</w:t>
        <w:tab/>
      </w:r>
    </w:p>
    <w:p>
      <w:pPr>
        <w:pStyle w:val="Llenarguiones"/>
        <w:rPr>
          <w:sz w:val="22"/>
          <w:szCs w:val="22"/>
        </w:rPr>
      </w:pPr>
      <w:r>
        <w:rPr>
          <w:sz w:val="20"/>
          <w:szCs w:val="20"/>
        </w:rPr>
        <w:t>DÉCIMO-TERCERA: EL LOCATARIO constituye domicilio legal y especial a los efectos del presente en el inmueble que alquila, el que subsistirá aún después de desocupado dicho inmueble por el mismo.</w:t>
        <w:tab/>
      </w:r>
    </w:p>
    <w:p>
      <w:pPr>
        <w:pStyle w:val="Llenarguiones"/>
        <w:rPr/>
      </w:pPr>
      <w:r>
        <w:rPr>
          <w:color w:val="000000"/>
          <w:sz w:val="20"/>
          <w:szCs w:val="20"/>
        </w:rPr>
        <w:t xml:space="preserve">DÉCIMO-CUARTA: </w:t>
      </w:r>
      <w:r>
        <w:rPr>
          <w:color w:val="000000"/>
          <w:sz w:val="20"/>
          <w:szCs w:val="20"/>
        </w:rPr>
        <w:fldChar w:fldCharType="begin"/>
      </w:r>
      <w:r>
        <w:rPr>
          <w:sz w:val="20"/>
          <w:szCs w:val="20"/>
        </w:rPr>
        <w:instrText> MERGEFIELD GARANTES </w:instrText>
      </w:r>
      <w:r>
        <w:rPr>
          <w:sz w:val="20"/>
          <w:szCs w:val="20"/>
        </w:rPr>
        <w:fldChar w:fldCharType="separate"/>
      </w:r>
      <w:r>
        <w:rPr>
          <w:sz w:val="20"/>
          <w:szCs w:val="20"/>
        </w:rPr>
        <w:t>&lt;GARANTES&gt;</w:t>
      </w:r>
      <w:r>
        <w:rPr>
          <w:sz w:val="20"/>
          <w:szCs w:val="20"/>
        </w:rPr>
        <w:fldChar w:fldCharType="end"/>
      </w:r>
      <w:r>
        <w:rPr>
          <w:color w:val="000000"/>
          <w:sz w:val="20"/>
          <w:szCs w:val="20"/>
        </w:rPr>
        <w:t>, suscriben este contrato como FIADORES y GARANTES solidarios, lisos, llanos y principales pagadores de EL LOCATARIO</w:t>
      </w:r>
      <w:r>
        <w:rPr>
          <w:b/>
          <w:bCs/>
          <w:color w:val="000000"/>
          <w:sz w:val="20"/>
          <w:szCs w:val="20"/>
        </w:rPr>
        <w:t xml:space="preserve"> </w:t>
      </w:r>
      <w:r>
        <w:rPr>
          <w:b/>
          <w:bCs/>
          <w:color w:val="000000"/>
          <w:sz w:val="20"/>
          <w:szCs w:val="20"/>
        </w:rPr>
        <w:fldChar w:fldCharType="begin"/>
      </w:r>
      <w:r>
        <w:rPr>
          <w:sz w:val="20"/>
          <w:b/>
          <w:szCs w:val="20"/>
          <w:bCs/>
        </w:rPr>
        <w:instrText> MERGEFIELD INQUILINO_NOMBRE </w:instrText>
      </w:r>
      <w:r>
        <w:rPr>
          <w:sz w:val="20"/>
          <w:b/>
          <w:szCs w:val="20"/>
          <w:bCs/>
        </w:rPr>
        <w:fldChar w:fldCharType="separate"/>
      </w:r>
      <w:r>
        <w:rPr>
          <w:sz w:val="20"/>
          <w:b/>
          <w:szCs w:val="20"/>
          <w:bCs/>
        </w:rPr>
        <w:t>&lt;INQUILINO_NOMBRE&gt;</w:t>
      </w:r>
      <w:r>
        <w:rPr>
          <w:sz w:val="20"/>
          <w:b/>
          <w:szCs w:val="20"/>
          <w:bCs/>
        </w:rPr>
        <w:fldChar w:fldCharType="end"/>
      </w:r>
      <w:r>
        <w:rPr>
          <w:b/>
          <w:bCs/>
          <w:color w:val="000000"/>
          <w:sz w:val="20"/>
          <w:szCs w:val="20"/>
        </w:rPr>
        <w:t xml:space="preserve">, </w:t>
      </w:r>
      <w:r>
        <w:rPr>
          <w:b/>
          <w:bCs/>
          <w:color w:val="000000"/>
          <w:sz w:val="20"/>
          <w:szCs w:val="20"/>
        </w:rPr>
        <w:fldChar w:fldCharType="begin"/>
      </w:r>
      <w:r>
        <w:rPr>
          <w:sz w:val="20"/>
          <w:b/>
          <w:szCs w:val="20"/>
          <w:bCs/>
        </w:rPr>
        <w:instrText> MERGEFIELD INQUILINO_NACIONALIDAD </w:instrText>
      </w:r>
      <w:r>
        <w:rPr>
          <w:sz w:val="20"/>
          <w:b/>
          <w:szCs w:val="20"/>
          <w:bCs/>
        </w:rPr>
        <w:fldChar w:fldCharType="separate"/>
      </w:r>
      <w:r>
        <w:rPr>
          <w:sz w:val="20"/>
          <w:b/>
          <w:szCs w:val="20"/>
          <w:bCs/>
        </w:rPr>
        <w:t>&lt;INQUILINO_NACIONALIDAD&gt;</w:t>
      </w:r>
      <w:r>
        <w:rPr>
          <w:sz w:val="20"/>
          <w:b/>
          <w:szCs w:val="20"/>
          <w:bCs/>
        </w:rPr>
        <w:fldChar w:fldCharType="end"/>
      </w:r>
      <w:r>
        <w:rPr>
          <w:b/>
          <w:bCs/>
          <w:color w:val="000000"/>
          <w:sz w:val="20"/>
          <w:szCs w:val="20"/>
        </w:rPr>
        <w:t xml:space="preserve">, D.N.I. N° </w:t>
      </w:r>
      <w:r>
        <w:rPr>
          <w:b/>
          <w:bCs/>
          <w:color w:val="000000"/>
          <w:sz w:val="20"/>
          <w:szCs w:val="20"/>
        </w:rPr>
        <w:fldChar w:fldCharType="begin"/>
      </w:r>
      <w:r>
        <w:rPr>
          <w:sz w:val="20"/>
          <w:b/>
          <w:szCs w:val="20"/>
          <w:bCs/>
        </w:rPr>
        <w:instrText> MERGEFIELD INQUILINO_DNI </w:instrText>
      </w:r>
      <w:r>
        <w:rPr>
          <w:sz w:val="20"/>
          <w:b/>
          <w:szCs w:val="20"/>
          <w:bCs/>
        </w:rPr>
        <w:fldChar w:fldCharType="separate"/>
      </w:r>
      <w:r>
        <w:rPr>
          <w:sz w:val="20"/>
          <w:b/>
          <w:szCs w:val="20"/>
          <w:bCs/>
        </w:rPr>
        <w:t>&lt;INQUILINO_DNI&gt;</w:t>
      </w:r>
      <w:r>
        <w:rPr>
          <w:sz w:val="20"/>
          <w:b/>
          <w:szCs w:val="20"/>
          <w:bCs/>
        </w:rPr>
        <w:fldChar w:fldCharType="end"/>
      </w:r>
      <w:r>
        <w:rPr>
          <w:color w:val="000000"/>
          <w:sz w:val="20"/>
          <w:szCs w:val="20"/>
        </w:rPr>
        <w:t>, respecto del pago, cualquiera sea el monto y número de mensualidades adeudadas, y demás obligaciones emergentes de este contrato. También, en caso que su garantido siga ocupando el inmueble objeto de este contrato una vez vencido el término del mismo, deberá abonar los daños y perjuicios que correspondan por dicha ocupación indebida hasta la desocupación y real entrega del inmueble a EL LOCADOR, en las condiciones establecidas en el presente contrato, renunciando al beneficio de excusión que pudiera corresponderle. Por otro lado, los GARANTES se obligan a abonar los honorarios y costas judiciales de cualquier acción que promoviera EL LOCADOR con relación al inmueble arrendado, inclusive los honorarios y gastos que se devenguen extrajudicialmente, aunque no mediare comunicación judicial o extrajudicial por parte de EL LOCADOR de la iniciación y/o existencia de dichos procesos judiciales. Esta fianza y garantía solidaria autoriza expresamente a EL LOCADOR para que dirija sus acciones judiciales vía juicio ejecutivo y/o</w:t>
      </w:r>
      <w:r>
        <w:rPr>
          <w:i/>
          <w:color w:val="000000"/>
          <w:sz w:val="20"/>
          <w:szCs w:val="20"/>
        </w:rPr>
        <w:t xml:space="preserve"> </w:t>
      </w:r>
      <w:r>
        <w:rPr>
          <w:color w:val="000000"/>
          <w:sz w:val="20"/>
          <w:szCs w:val="20"/>
        </w:rPr>
        <w:t>el juicio que estime conveniente contra EL LOCATARIO y/o contra los GARANTES, según convenga los intereses de EL LOCADOR. Se deja constancia que los fiadores y garantes mencionados constituyen domicilio especial y legal en el lugar antes señalado y se obligan a abonar las sumas de dinero adeudadas por EL LOCATARIO, aún en el supuesto caso de Concurso Preventivo y/o</w:t>
      </w:r>
      <w:r>
        <w:rPr>
          <w:i/>
          <w:color w:val="000000"/>
          <w:sz w:val="20"/>
          <w:szCs w:val="20"/>
        </w:rPr>
        <w:t xml:space="preserve"> </w:t>
      </w:r>
      <w:r>
        <w:rPr>
          <w:color w:val="000000"/>
          <w:sz w:val="20"/>
          <w:szCs w:val="20"/>
        </w:rPr>
        <w:t>Quiebra de éste último, renunciando expresamente a cualquier disposición legal que se contraponga a lo precedentemente convenido. Asimismo, los fiadores y garantes solidarios manifiestan que a la fecha de la firma del presente son propietarios de inmuebles y/o</w:t>
      </w:r>
      <w:r>
        <w:rPr>
          <w:i/>
          <w:color w:val="000000"/>
          <w:sz w:val="20"/>
          <w:szCs w:val="20"/>
        </w:rPr>
        <w:t xml:space="preserve"> </w:t>
      </w:r>
      <w:r>
        <w:rPr>
          <w:color w:val="000000"/>
          <w:sz w:val="20"/>
          <w:szCs w:val="20"/>
        </w:rPr>
        <w:t>declaran ingresos a través de recibos de sueldo, los que se encuentran libres de todo gravamen, pudiendo disponer libremente de los mismos y comprometiéndose a mantener tal situación mientras dure la vigencia del presente contrato y EL LOCADOR reciba el inmueble en la forma pactada. Si por cualquier causa los fiadores y garantes solidarios dejaren de reunir las condiciones de solvencia declaradas y necesarias para responder por las obligaciones emergentes del presente, podrá EL LOCADOR exigir a EL LOCATARIO la constitución de una nueva fianza a su satisfacción, obligándose los nuevos fiadores en un todo de acuerdo a lo establecido en el presente, comprometiéndose a constituirla dentro de los quince (15) días de serle requerida, todo ello bajo apercibimientos de considerar rescindido el presente y con facultades de iniciar las acciones judiciales pertinentes.</w:t>
        <w:tab/>
      </w:r>
    </w:p>
    <w:p>
      <w:pPr>
        <w:pStyle w:val="Llenarguiones"/>
        <w:rPr>
          <w:sz w:val="22"/>
          <w:szCs w:val="22"/>
        </w:rPr>
      </w:pPr>
      <w:r>
        <w:rPr>
          <w:sz w:val="20"/>
          <w:szCs w:val="20"/>
        </w:rPr>
        <w:t>DÉCIMO-QUINTA: A los efectos legales y para el caso de intervención judicial, las partes se someten a la jurisdicción de los Tribunales Ordinarios de la Ciudad de Santa Fe, renunciando expresamente a todo otro fuero o jurisdicción, inclusive el Federal si correspondiere.</w:t>
        <w:tab/>
      </w:r>
    </w:p>
    <w:p>
      <w:pPr>
        <w:pStyle w:val="Llenarguiones"/>
        <w:rPr>
          <w:sz w:val="22"/>
          <w:szCs w:val="22"/>
        </w:rPr>
      </w:pPr>
      <w:r>
        <w:rPr>
          <w:color w:val="000000"/>
          <w:sz w:val="20"/>
          <w:szCs w:val="20"/>
        </w:rPr>
        <w:t>DÉCIMO-SEXTA: EL LOCATARIO manifiesta que recibe la propiedad en el estado que se encuentra y que abonará por su exclusiva cuenta todos los arreglos que por el mal uso y/o falta de limpieza y conservación necesite el bien locado como ser arreglos de techos, roturas de vidrios, sanitarios, herrajes, cerraduras o pintura en general. EL LOCATARIO libera a EL LOCADOR del cumplimiento de las obligaciones impuestas por los artículos 1516,1517,1520 del Código Civil, los que quedan sin efecto, tomando EL LOCATARIO a su cargo todos los riesgos de cualquier naturaleza y/o</w:t>
      </w:r>
      <w:r>
        <w:rPr>
          <w:i/>
          <w:color w:val="000000"/>
          <w:sz w:val="20"/>
          <w:szCs w:val="20"/>
        </w:rPr>
        <w:t xml:space="preserve"> </w:t>
      </w:r>
      <w:r>
        <w:rPr>
          <w:color w:val="000000"/>
          <w:sz w:val="20"/>
          <w:szCs w:val="20"/>
        </w:rPr>
        <w:t>daños sufridos por las personas y/o bienes propios o de terceros, siendo obligación expresa de EL LOCATARIO notificar fehacientemente e inmediatamente a EL LOCADOR de cuantos problemas e inconvenientes se originen en la estructura general de la vivienda, sean filtraciones, rajaduras, humedades, etc., haciéndose responsable de sus reparaciones en caso de no hacerlo en el momento en que se produzcan tales situaciones.</w:t>
        <w:tab/>
      </w:r>
    </w:p>
    <w:p>
      <w:pPr>
        <w:pStyle w:val="Llenarguiones"/>
        <w:rPr>
          <w:sz w:val="22"/>
          <w:szCs w:val="22"/>
        </w:rPr>
      </w:pPr>
      <w:r>
        <w:rPr>
          <w:sz w:val="20"/>
          <w:szCs w:val="20"/>
        </w:rPr>
        <w:t>DÉCIMO-SÉPTIMA: Producido el vencimiento del contrato, EL LOCADOR recibirá de EL LOCATARIO las llaves del inmueble locado, en el domicilio denunciado, extendiendo a sus efectos el recibo pertinente, único medio probatorio de la restitución en legal forma. En esa oportunidad EL LOCADOR practicará la revisión integral de la propiedad a efectos de constatar si su estado de conservación reúne las condiciones estipuladas, corriendo mientras tanto los alquileres por cuenta de EL LOCATARIO con el incremento de la cláusula DÉCIMA en caso de ser necesaria alguna refacción o arreglo por causa imputable a EL LOCATARIO y por el tiempo que duren las refacciones, siendo los costos que demanden tales obras a cargo de este último.</w:t>
        <w:tab/>
      </w:r>
    </w:p>
    <w:p>
      <w:pPr>
        <w:pStyle w:val="Llenarguiones"/>
        <w:rPr>
          <w:sz w:val="22"/>
          <w:szCs w:val="22"/>
        </w:rPr>
      </w:pPr>
      <w:r>
        <w:rPr>
          <w:sz w:val="20"/>
          <w:szCs w:val="20"/>
        </w:rPr>
        <w:t>DÉCIMO-OCTAVA: Se conviene que en caso que EL LOCATARIO estuviere constituido por dos o más personas físicas o jurídicas, cada una de dichas personas es solidariamente responsable por todas las obligaciones de EL LOCATARIO según este contrato. Asimismo, las personas que integran la parte denominada LOCATARIO se otorgan recíprocamente poder especial irrevocable para la resolución anticipada de común acuerdo de este contrato y para la restitución del inmueble a EL LOCADOR.</w:t>
        <w:tab/>
      </w:r>
    </w:p>
    <w:p>
      <w:pPr>
        <w:pStyle w:val="Llenarguiones"/>
        <w:rPr/>
      </w:pPr>
      <w:r>
        <w:rPr>
          <w:sz w:val="20"/>
          <w:szCs w:val="20"/>
        </w:rPr>
        <w:t xml:space="preserve">DÉCIMO NOVENA: En la ciudad de Santa Fe, Provincia del mismo nombre al día </w:t>
      </w:r>
      <w:r>
        <w:rPr>
          <w:sz w:val="20"/>
          <w:szCs w:val="20"/>
        </w:rPr>
        <w:fldChar w:fldCharType="begin"/>
      </w:r>
      <w:r>
        <w:rPr>
          <w:sz w:val="20"/>
          <w:szCs w:val="20"/>
        </w:rPr>
        <w:instrText> MERGEFIELD CONTRATO_FECHA_FIRMA </w:instrText>
      </w:r>
      <w:r>
        <w:rPr>
          <w:sz w:val="20"/>
          <w:szCs w:val="20"/>
        </w:rPr>
        <w:fldChar w:fldCharType="separate"/>
      </w:r>
      <w:r>
        <w:rPr>
          <w:sz w:val="20"/>
          <w:szCs w:val="20"/>
        </w:rPr>
        <w:t>&lt;CONTRATO_FECHA_FIRMA&gt;</w:t>
      </w:r>
      <w:r>
        <w:rPr>
          <w:sz w:val="20"/>
          <w:szCs w:val="20"/>
        </w:rPr>
        <w:fldChar w:fldCharType="end"/>
      </w:r>
      <w:r>
        <w:rPr>
          <w:sz w:val="20"/>
          <w:szCs w:val="20"/>
        </w:rPr>
        <w:t>, a entera satisfacción de las partes, se firman dos (2) ejemplares de un mismo tenor y a un solo efecto para debida constancia.</w:t>
        <w:tab/>
      </w:r>
    </w:p>
    <w:p>
      <w:pPr>
        <w:pStyle w:val="Normal"/>
        <w:spacing w:lineRule="exact" w:line="216"/>
        <w:ind w:left="9" w:right="38" w:hanging="0"/>
        <w:jc w:val="both"/>
        <w:rPr>
          <w:color w:val="000000"/>
          <w:sz w:val="20"/>
          <w:szCs w:val="20"/>
        </w:rPr>
      </w:pPr>
      <w:r>
        <w:rPr>
          <w:color w:val="000000"/>
          <w:sz w:val="20"/>
          <w:szCs w:val="20"/>
        </w:rPr>
      </w:r>
    </w:p>
    <w:p>
      <w:pPr>
        <w:pStyle w:val="Normal"/>
        <w:spacing w:lineRule="exact" w:line="216"/>
        <w:ind w:left="9" w:right="38" w:hanging="0"/>
        <w:jc w:val="both"/>
        <w:rPr>
          <w:color w:val="000000"/>
          <w:sz w:val="20"/>
          <w:szCs w:val="20"/>
        </w:rPr>
      </w:pPr>
      <w:r>
        <w:rPr>
          <w:color w:val="000000"/>
          <w:sz w:val="20"/>
          <w:szCs w:val="20"/>
        </w:rPr>
      </w:r>
    </w:p>
    <w:p>
      <w:pPr>
        <w:pStyle w:val="Normal"/>
        <w:spacing w:lineRule="exact" w:line="216"/>
        <w:ind w:right="38" w:hanging="0"/>
        <w:jc w:val="both"/>
        <w:rPr>
          <w:color w:val="000000"/>
          <w:sz w:val="20"/>
          <w:szCs w:val="20"/>
        </w:rPr>
      </w:pPr>
      <w:r>
        <w:rPr>
          <w:color w:val="000000"/>
          <w:sz w:val="20"/>
          <w:szCs w:val="20"/>
        </w:rPr>
      </w:r>
    </w:p>
    <w:tbl>
      <w:tblPr>
        <w:tblW w:w="9638" w:type="dxa"/>
        <w:jc w:val="left"/>
        <w:tblInd w:w="0" w:type="dxa"/>
        <w:tblBorders/>
        <w:tblCellMar>
          <w:top w:w="55" w:type="dxa"/>
          <w:left w:w="55" w:type="dxa"/>
          <w:bottom w:w="55" w:type="dxa"/>
          <w:right w:w="55" w:type="dxa"/>
        </w:tblCellMar>
      </w:tblPr>
      <w:tblGrid>
        <w:gridCol w:w="4819"/>
        <w:gridCol w:w="4818"/>
      </w:tblGrid>
      <w:tr>
        <w:trPr>
          <w:trHeight w:val="1527" w:hRule="atLeast"/>
        </w:trPr>
        <w:tc>
          <w:tcPr>
            <w:tcW w:w="4819" w:type="dxa"/>
            <w:tcBorders/>
            <w:shd w:fill="auto" w:val="clear"/>
          </w:tcPr>
          <w:p>
            <w:pPr>
              <w:pStyle w:val="Normal"/>
              <w:spacing w:lineRule="exact" w:line="216"/>
              <w:ind w:left="9" w:right="0" w:hanging="0"/>
              <w:jc w:val="center"/>
              <w:rPr>
                <w:b/>
                <w:b/>
                <w:color w:val="000000"/>
                <w:sz w:val="22"/>
                <w:szCs w:val="22"/>
              </w:rPr>
            </w:pPr>
            <w:r>
              <w:rPr>
                <w:b/>
                <w:color w:val="000000"/>
                <w:sz w:val="22"/>
                <w:szCs w:val="22"/>
              </w:rPr>
            </w:r>
          </w:p>
          <w:p>
            <w:pPr>
              <w:pStyle w:val="Normal"/>
              <w:spacing w:lineRule="exact" w:line="216"/>
              <w:ind w:left="9" w:right="0" w:hanging="0"/>
              <w:jc w:val="center"/>
              <w:rPr>
                <w:b/>
                <w:b/>
                <w:color w:val="000000"/>
                <w:sz w:val="22"/>
                <w:szCs w:val="22"/>
              </w:rPr>
            </w:pPr>
            <w:r>
              <w:rPr>
                <w:b/>
                <w:color w:val="000000"/>
                <w:sz w:val="22"/>
                <w:szCs w:val="22"/>
              </w:rPr>
            </w:r>
          </w:p>
          <w:p>
            <w:pPr>
              <w:pStyle w:val="Normal"/>
              <w:spacing w:lineRule="exact" w:line="216"/>
              <w:ind w:left="9" w:right="0" w:hanging="0"/>
              <w:jc w:val="center"/>
              <w:rPr>
                <w:b/>
                <w:b/>
                <w:color w:val="000000"/>
                <w:sz w:val="22"/>
                <w:szCs w:val="22"/>
              </w:rPr>
            </w:pPr>
            <w:r>
              <w:rPr>
                <w:b/>
                <w:color w:val="000000"/>
                <w:sz w:val="22"/>
                <w:szCs w:val="22"/>
              </w:rPr>
            </w:r>
          </w:p>
          <w:p>
            <w:pPr>
              <w:pStyle w:val="Normal"/>
              <w:spacing w:lineRule="exact" w:line="216"/>
              <w:ind w:left="9" w:right="0" w:hanging="0"/>
              <w:jc w:val="center"/>
              <w:rPr>
                <w:b/>
                <w:b/>
                <w:color w:val="000000"/>
                <w:sz w:val="22"/>
                <w:szCs w:val="22"/>
              </w:rPr>
            </w:pPr>
            <w:r>
              <w:rPr>
                <w:b/>
                <w:color w:val="000000"/>
                <w:sz w:val="22"/>
                <w:szCs w:val="22"/>
              </w:rPr>
            </w:r>
          </w:p>
          <w:p>
            <w:pPr>
              <w:pStyle w:val="Normal"/>
              <w:spacing w:lineRule="exact" w:line="216"/>
              <w:ind w:left="9" w:right="0" w:hanging="0"/>
              <w:jc w:val="center"/>
              <w:rPr>
                <w:b/>
                <w:b/>
                <w:color w:val="000000"/>
                <w:sz w:val="22"/>
                <w:szCs w:val="22"/>
              </w:rPr>
            </w:pPr>
            <w:r>
              <w:rPr>
                <w:b/>
                <w:color w:val="000000"/>
                <w:sz w:val="22"/>
                <w:szCs w:val="22"/>
              </w:rPr>
            </w:r>
          </w:p>
          <w:p>
            <w:pPr>
              <w:pStyle w:val="Normal"/>
              <w:spacing w:lineRule="exact" w:line="216"/>
              <w:ind w:right="0" w:hanging="0"/>
              <w:jc w:val="center"/>
              <w:rPr>
                <w:sz w:val="22"/>
                <w:szCs w:val="22"/>
              </w:rPr>
            </w:pPr>
            <w:r>
              <w:rPr>
                <w:b/>
                <w:color w:val="000000"/>
                <w:sz w:val="22"/>
                <w:szCs w:val="22"/>
              </w:rPr>
              <w:t>FEDERICO JAVIER GAZZE POLICANI</w:t>
            </w:r>
          </w:p>
        </w:tc>
        <w:tc>
          <w:tcPr>
            <w:tcW w:w="4818" w:type="dxa"/>
            <w:tcBorders/>
            <w:shd w:fill="auto" w:val="clear"/>
          </w:tcPr>
          <w:p>
            <w:pPr>
              <w:pStyle w:val="Normal"/>
              <w:spacing w:lineRule="exact" w:line="216"/>
              <w:ind w:left="9" w:right="0" w:hanging="0"/>
              <w:jc w:val="center"/>
              <w:rPr>
                <w:b/>
                <w:b/>
                <w:bCs/>
                <w:sz w:val="22"/>
                <w:szCs w:val="22"/>
              </w:rPr>
            </w:pPr>
            <w:r>
              <w:rPr>
                <w:b/>
                <w:bCs/>
                <w:sz w:val="22"/>
                <w:szCs w:val="22"/>
              </w:rPr>
            </w:r>
          </w:p>
          <w:p>
            <w:pPr>
              <w:pStyle w:val="Normal"/>
              <w:spacing w:lineRule="exact" w:line="216"/>
              <w:ind w:left="9" w:right="0" w:hanging="0"/>
              <w:jc w:val="center"/>
              <w:rPr>
                <w:b/>
                <w:b/>
                <w:bCs/>
                <w:sz w:val="22"/>
                <w:szCs w:val="22"/>
              </w:rPr>
            </w:pPr>
            <w:r>
              <w:rPr>
                <w:b/>
                <w:bCs/>
                <w:sz w:val="22"/>
                <w:szCs w:val="22"/>
              </w:rPr>
            </w:r>
          </w:p>
          <w:p>
            <w:pPr>
              <w:pStyle w:val="Normal"/>
              <w:spacing w:lineRule="exact" w:line="216"/>
              <w:ind w:left="9" w:right="0" w:hanging="0"/>
              <w:jc w:val="center"/>
              <w:rPr>
                <w:b/>
                <w:b/>
                <w:bCs/>
                <w:sz w:val="22"/>
                <w:szCs w:val="22"/>
              </w:rPr>
            </w:pPr>
            <w:r>
              <w:rPr>
                <w:b/>
                <w:bCs/>
                <w:sz w:val="22"/>
                <w:szCs w:val="22"/>
              </w:rPr>
            </w:r>
          </w:p>
          <w:p>
            <w:pPr>
              <w:pStyle w:val="Normal"/>
              <w:spacing w:lineRule="exact" w:line="216"/>
              <w:ind w:left="9" w:right="0" w:hanging="0"/>
              <w:jc w:val="center"/>
              <w:rPr>
                <w:b/>
                <w:b/>
                <w:bCs/>
                <w:sz w:val="22"/>
                <w:szCs w:val="22"/>
              </w:rPr>
            </w:pPr>
            <w:r>
              <w:rPr>
                <w:b/>
                <w:bCs/>
                <w:sz w:val="22"/>
                <w:szCs w:val="22"/>
              </w:rPr>
            </w:r>
          </w:p>
          <w:p>
            <w:pPr>
              <w:pStyle w:val="Normal"/>
              <w:spacing w:lineRule="exact" w:line="216"/>
              <w:ind w:left="9" w:right="0" w:hanging="0"/>
              <w:jc w:val="center"/>
              <w:rPr>
                <w:b/>
                <w:b/>
                <w:bCs/>
                <w:sz w:val="22"/>
                <w:szCs w:val="22"/>
              </w:rPr>
            </w:pPr>
            <w:r>
              <w:rPr>
                <w:b/>
                <w:bCs/>
                <w:sz w:val="22"/>
                <w:szCs w:val="22"/>
              </w:rPr>
            </w:r>
          </w:p>
          <w:p>
            <w:pPr>
              <w:pStyle w:val="Normal"/>
              <w:spacing w:lineRule="exact" w:line="216"/>
              <w:ind w:left="9" w:right="0" w:hanging="0"/>
              <w:jc w:val="center"/>
              <w:rPr/>
            </w:pPr>
            <w:r>
              <w:rPr>
                <w:b/>
                <w:bCs/>
                <w:sz w:val="22"/>
                <w:szCs w:val="22"/>
              </w:rPr>
              <w:fldChar w:fldCharType="begin"/>
            </w:r>
            <w:r>
              <w:rPr>
                <w:sz w:val="22"/>
                <w:b/>
                <w:szCs w:val="22"/>
                <w:bCs/>
              </w:rPr>
              <w:instrText> MERGEFIELD FIRMAS_INQUILINO </w:instrText>
            </w:r>
            <w:r>
              <w:rPr>
                <w:sz w:val="22"/>
                <w:b/>
                <w:szCs w:val="22"/>
                <w:bCs/>
              </w:rPr>
              <w:fldChar w:fldCharType="separate"/>
            </w:r>
            <w:r>
              <w:rPr>
                <w:sz w:val="22"/>
                <w:b/>
                <w:szCs w:val="22"/>
                <w:bCs/>
              </w:rPr>
              <w:t>&lt;FIRMAS_INQUILINO&gt;</w:t>
            </w:r>
            <w:r>
              <w:rPr>
                <w:sz w:val="22"/>
                <w:b/>
                <w:szCs w:val="22"/>
                <w:bCs/>
              </w:rPr>
              <w:fldChar w:fldCharType="end"/>
            </w:r>
          </w:p>
        </w:tc>
      </w:tr>
      <w:tr>
        <w:trPr>
          <w:trHeight w:val="1650" w:hRule="atLeast"/>
        </w:trPr>
        <w:tc>
          <w:tcPr>
            <w:tcW w:w="4819" w:type="dxa"/>
            <w:tcBorders/>
            <w:shd w:fill="auto" w:val="clear"/>
          </w:tcPr>
          <w:p>
            <w:pPr>
              <w:pStyle w:val="Normal"/>
              <w:spacing w:lineRule="exact" w:line="216"/>
              <w:ind w:left="9" w:right="38" w:hanging="0"/>
              <w:jc w:val="center"/>
              <w:rPr>
                <w:b/>
                <w:b/>
                <w:bCs/>
                <w:sz w:val="22"/>
                <w:szCs w:val="22"/>
              </w:rPr>
            </w:pPr>
            <w:r>
              <w:rPr>
                <w:b/>
                <w:bCs/>
                <w:sz w:val="22"/>
                <w:szCs w:val="22"/>
              </w:rPr>
            </w:r>
          </w:p>
          <w:p>
            <w:pPr>
              <w:pStyle w:val="Normal"/>
              <w:spacing w:lineRule="exact" w:line="216"/>
              <w:ind w:left="9" w:right="38" w:hanging="0"/>
              <w:jc w:val="center"/>
              <w:rPr>
                <w:b/>
                <w:b/>
                <w:bCs/>
                <w:sz w:val="22"/>
                <w:szCs w:val="22"/>
              </w:rPr>
            </w:pPr>
            <w:r>
              <w:rPr>
                <w:b/>
                <w:bCs/>
                <w:sz w:val="22"/>
                <w:szCs w:val="22"/>
              </w:rPr>
            </w:r>
          </w:p>
          <w:p>
            <w:pPr>
              <w:pStyle w:val="Normal"/>
              <w:spacing w:lineRule="exact" w:line="216"/>
              <w:ind w:left="9" w:right="38" w:hanging="0"/>
              <w:jc w:val="center"/>
              <w:rPr>
                <w:b/>
                <w:b/>
                <w:bCs/>
                <w:sz w:val="22"/>
                <w:szCs w:val="22"/>
              </w:rPr>
            </w:pPr>
            <w:r>
              <w:rPr>
                <w:b/>
                <w:bCs/>
                <w:sz w:val="22"/>
                <w:szCs w:val="22"/>
              </w:rPr>
            </w:r>
          </w:p>
          <w:p>
            <w:pPr>
              <w:pStyle w:val="Normal"/>
              <w:spacing w:lineRule="exact" w:line="216"/>
              <w:ind w:left="9" w:right="38" w:hanging="0"/>
              <w:jc w:val="center"/>
              <w:rPr>
                <w:b/>
                <w:b/>
                <w:bCs/>
                <w:sz w:val="22"/>
                <w:szCs w:val="22"/>
              </w:rPr>
            </w:pPr>
            <w:r>
              <w:rPr>
                <w:b/>
                <w:bCs/>
                <w:sz w:val="22"/>
                <w:szCs w:val="22"/>
              </w:rPr>
            </w:r>
          </w:p>
          <w:p>
            <w:pPr>
              <w:pStyle w:val="Normal"/>
              <w:spacing w:lineRule="exact" w:line="216"/>
              <w:ind w:left="9" w:right="38" w:hanging="0"/>
              <w:jc w:val="center"/>
              <w:rPr>
                <w:b/>
                <w:b/>
                <w:bCs/>
                <w:sz w:val="22"/>
                <w:szCs w:val="22"/>
              </w:rPr>
            </w:pPr>
            <w:r>
              <w:rPr>
                <w:b/>
                <w:bCs/>
                <w:sz w:val="22"/>
                <w:szCs w:val="22"/>
              </w:rPr>
            </w:r>
          </w:p>
          <w:p>
            <w:pPr>
              <w:pStyle w:val="Normal"/>
              <w:spacing w:lineRule="exact" w:line="216"/>
              <w:ind w:right="38" w:hanging="0"/>
              <w:jc w:val="center"/>
              <w:rPr/>
            </w:pPr>
            <w:r>
              <w:rPr>
                <w:b/>
                <w:bCs/>
                <w:sz w:val="22"/>
                <w:szCs w:val="22"/>
              </w:rPr>
              <w:fldChar w:fldCharType="begin"/>
            </w:r>
            <w:r>
              <w:rPr>
                <w:sz w:val="22"/>
                <w:b/>
                <w:szCs w:val="22"/>
                <w:bCs/>
              </w:rPr>
              <w:instrText> MERGEFIELD GARANTE1_NOMBRE </w:instrText>
            </w:r>
            <w:r>
              <w:rPr>
                <w:sz w:val="22"/>
                <w:b/>
                <w:szCs w:val="22"/>
                <w:bCs/>
              </w:rPr>
              <w:fldChar w:fldCharType="separate"/>
            </w:r>
            <w:r>
              <w:rPr>
                <w:sz w:val="22"/>
                <w:b/>
                <w:szCs w:val="22"/>
                <w:bCs/>
              </w:rPr>
              <w:t>&lt;GARANTE1_NOMBRE&gt;</w:t>
            </w:r>
            <w:r>
              <w:rPr>
                <w:sz w:val="22"/>
                <w:b/>
                <w:szCs w:val="22"/>
                <w:bCs/>
              </w:rPr>
              <w:fldChar w:fldCharType="end"/>
            </w:r>
          </w:p>
        </w:tc>
        <w:tc>
          <w:tcPr>
            <w:tcW w:w="4818" w:type="dxa"/>
            <w:tcBorders/>
            <w:shd w:fill="auto" w:val="clear"/>
          </w:tcPr>
          <w:p>
            <w:pPr>
              <w:pStyle w:val="Normal"/>
              <w:spacing w:lineRule="exact" w:line="216"/>
              <w:ind w:left="9" w:right="38" w:hanging="0"/>
              <w:jc w:val="center"/>
              <w:rPr>
                <w:b/>
                <w:b/>
                <w:bCs/>
                <w:sz w:val="22"/>
                <w:szCs w:val="22"/>
              </w:rPr>
            </w:pPr>
            <w:r>
              <w:rPr>
                <w:b/>
                <w:bCs/>
                <w:sz w:val="22"/>
                <w:szCs w:val="22"/>
              </w:rPr>
            </w:r>
          </w:p>
          <w:p>
            <w:pPr>
              <w:pStyle w:val="Normal"/>
              <w:spacing w:lineRule="exact" w:line="216"/>
              <w:ind w:left="9" w:right="38" w:hanging="0"/>
              <w:jc w:val="center"/>
              <w:rPr>
                <w:b/>
                <w:b/>
                <w:bCs/>
                <w:sz w:val="22"/>
                <w:szCs w:val="22"/>
              </w:rPr>
            </w:pPr>
            <w:r>
              <w:rPr>
                <w:b/>
                <w:bCs/>
                <w:sz w:val="22"/>
                <w:szCs w:val="22"/>
              </w:rPr>
            </w:r>
          </w:p>
          <w:p>
            <w:pPr>
              <w:pStyle w:val="Normal"/>
              <w:spacing w:lineRule="exact" w:line="216"/>
              <w:ind w:left="9" w:right="38" w:hanging="0"/>
              <w:jc w:val="center"/>
              <w:rPr>
                <w:b/>
                <w:b/>
                <w:bCs/>
                <w:sz w:val="22"/>
                <w:szCs w:val="22"/>
              </w:rPr>
            </w:pPr>
            <w:r>
              <w:rPr>
                <w:b/>
                <w:bCs/>
                <w:sz w:val="22"/>
                <w:szCs w:val="22"/>
              </w:rPr>
            </w:r>
          </w:p>
          <w:p>
            <w:pPr>
              <w:pStyle w:val="Normal"/>
              <w:spacing w:lineRule="exact" w:line="216"/>
              <w:ind w:left="9" w:right="38" w:hanging="0"/>
              <w:jc w:val="center"/>
              <w:rPr>
                <w:b/>
                <w:b/>
                <w:bCs/>
                <w:sz w:val="22"/>
                <w:szCs w:val="22"/>
              </w:rPr>
            </w:pPr>
            <w:r>
              <w:rPr>
                <w:b/>
                <w:bCs/>
                <w:sz w:val="22"/>
                <w:szCs w:val="22"/>
              </w:rPr>
            </w:r>
          </w:p>
          <w:p>
            <w:pPr>
              <w:pStyle w:val="Normal"/>
              <w:spacing w:lineRule="exact" w:line="216"/>
              <w:ind w:left="9" w:right="38" w:hanging="0"/>
              <w:jc w:val="center"/>
              <w:rPr>
                <w:b/>
                <w:b/>
                <w:bCs/>
                <w:sz w:val="22"/>
                <w:szCs w:val="22"/>
              </w:rPr>
            </w:pPr>
            <w:r>
              <w:rPr>
                <w:b/>
                <w:bCs/>
                <w:sz w:val="22"/>
                <w:szCs w:val="22"/>
              </w:rPr>
            </w:r>
          </w:p>
          <w:p>
            <w:pPr>
              <w:pStyle w:val="Normal"/>
              <w:spacing w:lineRule="exact" w:line="216"/>
              <w:ind w:left="9" w:right="38" w:hanging="0"/>
              <w:jc w:val="center"/>
              <w:rPr/>
            </w:pPr>
            <w:r>
              <w:rPr>
                <w:b/>
                <w:bCs/>
                <w:sz w:val="22"/>
                <w:szCs w:val="22"/>
              </w:rPr>
              <w:fldChar w:fldCharType="begin"/>
            </w:r>
            <w:r>
              <w:rPr>
                <w:sz w:val="22"/>
                <w:b/>
                <w:szCs w:val="22"/>
                <w:bCs/>
              </w:rPr>
              <w:instrText> MERGEFIELD GARANTE2_NOMBRE </w:instrText>
            </w:r>
            <w:r>
              <w:rPr>
                <w:sz w:val="22"/>
                <w:b/>
                <w:szCs w:val="22"/>
                <w:bCs/>
              </w:rPr>
              <w:fldChar w:fldCharType="separate"/>
            </w:r>
            <w:r>
              <w:rPr>
                <w:sz w:val="22"/>
                <w:b/>
                <w:szCs w:val="22"/>
                <w:bCs/>
              </w:rPr>
              <w:t>&lt;GARANTE2_NOMBRE&gt;</w:t>
            </w:r>
            <w:r>
              <w:rPr>
                <w:sz w:val="22"/>
                <w:b/>
                <w:szCs w:val="22"/>
                <w:bCs/>
              </w:rPr>
              <w:fldChar w:fldCharType="end"/>
            </w:r>
          </w:p>
        </w:tc>
      </w:tr>
      <w:tr>
        <w:trPr>
          <w:trHeight w:val="1759" w:hRule="atLeast"/>
        </w:trPr>
        <w:tc>
          <w:tcPr>
            <w:tcW w:w="4819" w:type="dxa"/>
            <w:tcBorders/>
            <w:shd w:fill="auto" w:val="clear"/>
          </w:tcPr>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pPr>
            <w:r>
              <w:rPr>
                <w:sz w:val="22"/>
                <w:szCs w:val="22"/>
              </w:rPr>
              <w:fldChar w:fldCharType="begin"/>
            </w:r>
            <w:r>
              <w:rPr>
                <w:sz w:val="22"/>
                <w:szCs w:val="22"/>
              </w:rPr>
              <w:instrText> MERGEFIELD GARANTE3_NOMBRE </w:instrText>
            </w:r>
            <w:r>
              <w:rPr>
                <w:sz w:val="22"/>
                <w:szCs w:val="22"/>
              </w:rPr>
              <w:fldChar w:fldCharType="separate"/>
            </w:r>
            <w:r>
              <w:rPr>
                <w:sz w:val="22"/>
                <w:szCs w:val="22"/>
              </w:rPr>
              <w:t>&lt;GARANTE3_NOMBRE&gt;</w:t>
            </w:r>
            <w:r>
              <w:rPr>
                <w:sz w:val="22"/>
                <w:szCs w:val="22"/>
              </w:rPr>
              <w:fldChar w:fldCharType="end"/>
            </w:r>
          </w:p>
        </w:tc>
        <w:tc>
          <w:tcPr>
            <w:tcW w:w="4818" w:type="dxa"/>
            <w:tcBorders/>
            <w:shd w:fill="auto" w:val="clear"/>
          </w:tcPr>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pPr>
            <w:r>
              <w:rPr>
                <w:sz w:val="22"/>
                <w:szCs w:val="22"/>
              </w:rPr>
              <w:fldChar w:fldCharType="begin"/>
            </w:r>
            <w:r>
              <w:rPr>
                <w:sz w:val="22"/>
                <w:szCs w:val="22"/>
              </w:rPr>
              <w:instrText> MERGEFIELD GARANTE4_NOMBRE </w:instrText>
            </w:r>
            <w:r>
              <w:rPr>
                <w:sz w:val="22"/>
                <w:szCs w:val="22"/>
              </w:rPr>
              <w:fldChar w:fldCharType="separate"/>
            </w:r>
            <w:r>
              <w:rPr>
                <w:sz w:val="22"/>
                <w:szCs w:val="22"/>
              </w:rPr>
              <w:t>&lt;GARANTE4_NOMBRE&gt;</w:t>
            </w:r>
            <w:r>
              <w:rPr>
                <w:sz w:val="22"/>
                <w:szCs w:val="22"/>
              </w:rPr>
              <w:fldChar w:fldCharType="end"/>
            </w:r>
          </w:p>
        </w:tc>
      </w:tr>
      <w:tr>
        <w:trPr>
          <w:trHeight w:val="1759" w:hRule="atLeast"/>
        </w:trPr>
        <w:tc>
          <w:tcPr>
            <w:tcW w:w="4819" w:type="dxa"/>
            <w:tcBorders/>
            <w:shd w:fill="auto" w:val="clear"/>
          </w:tcPr>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pPr>
            <w:r>
              <w:rPr>
                <w:sz w:val="22"/>
                <w:szCs w:val="22"/>
              </w:rPr>
              <w:fldChar w:fldCharType="begin"/>
            </w:r>
            <w:r>
              <w:rPr>
                <w:sz w:val="22"/>
                <w:szCs w:val="22"/>
              </w:rPr>
              <w:instrText> MERGEFIELD GARANTE5_NOMBRE </w:instrText>
            </w:r>
            <w:r>
              <w:rPr>
                <w:sz w:val="22"/>
                <w:szCs w:val="22"/>
              </w:rPr>
              <w:fldChar w:fldCharType="separate"/>
            </w:r>
            <w:r>
              <w:rPr>
                <w:sz w:val="22"/>
                <w:szCs w:val="22"/>
              </w:rPr>
              <w:t>&lt;GARANTE5_NOMBRE&gt;</w:t>
            </w:r>
            <w:r>
              <w:rPr>
                <w:sz w:val="22"/>
                <w:szCs w:val="22"/>
              </w:rPr>
              <w:fldChar w:fldCharType="end"/>
            </w:r>
          </w:p>
        </w:tc>
        <w:tc>
          <w:tcPr>
            <w:tcW w:w="4818" w:type="dxa"/>
            <w:tcBorders/>
            <w:shd w:fill="auto" w:val="clear"/>
          </w:tcPr>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sz w:val="22"/>
                <w:szCs w:val="22"/>
              </w:rPr>
            </w:pPr>
            <w:r>
              <w:rPr>
                <w:sz w:val="22"/>
                <w:szCs w:val="22"/>
              </w:rPr>
            </w:r>
          </w:p>
          <w:p>
            <w:pPr>
              <w:pStyle w:val="Normal"/>
              <w:spacing w:lineRule="exact" w:line="216"/>
              <w:ind w:left="9" w:right="38" w:hanging="0"/>
              <w:jc w:val="center"/>
              <w:rPr/>
            </w:pPr>
            <w:r>
              <w:rPr>
                <w:sz w:val="22"/>
                <w:szCs w:val="22"/>
              </w:rPr>
              <w:fldChar w:fldCharType="begin"/>
            </w:r>
            <w:r>
              <w:rPr>
                <w:sz w:val="22"/>
                <w:szCs w:val="22"/>
              </w:rPr>
              <w:instrText> MERGEFIELD GARANTE6_NOMBRE </w:instrText>
            </w:r>
            <w:r>
              <w:rPr>
                <w:sz w:val="22"/>
                <w:szCs w:val="22"/>
              </w:rPr>
              <w:fldChar w:fldCharType="separate"/>
            </w:r>
            <w:r>
              <w:rPr>
                <w:sz w:val="22"/>
                <w:szCs w:val="22"/>
              </w:rPr>
              <w:t>&lt;GARANTE6_NOMBRE&gt;</w:t>
            </w:r>
            <w:r>
              <w:rPr>
                <w:sz w:val="22"/>
                <w:szCs w:val="22"/>
              </w:rPr>
              <w:fldChar w:fldCharType="end"/>
            </w:r>
          </w:p>
        </w:tc>
      </w:tr>
    </w:tbl>
    <w:p>
      <w:pPr>
        <w:pStyle w:val="Normal"/>
        <w:spacing w:lineRule="exact" w:line="216"/>
        <w:ind w:right="38" w:hanging="0"/>
        <w:jc w:val="both"/>
        <w:rPr/>
      </w:pPr>
      <w:r>
        <w:rPr/>
      </w:r>
    </w:p>
    <w:sectPr>
      <w:type w:val="nextPage"/>
      <w:pgSz w:w="11906" w:h="16838"/>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1"/>
    <w:family w:val="roman"/>
    <w:pitch w:val="variable"/>
  </w:font>
  <w:font w:name="Liberation Sans">
    <w:altName w:val="Arial"/>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isplayBackgroundShape/>
  <w:defaultTabStop w:val="708"/>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Lohit Devanagari"/>
        <w:sz w:val="20"/>
        <w:szCs w:val="24"/>
        <w:lang w:val="es-AR" w:eastAsia="zh-CN" w:bidi="hi-IN"/>
      </w:rPr>
    </w:rPrDefault>
    <w:pPrDefault>
      <w:pPr/>
    </w:pPrDefault>
  </w:docDefaults>
  <w:style w:type="paragraph" w:styleId="Normal">
    <w:name w:val="Normal"/>
    <w:qFormat/>
    <w:pPr>
      <w:widowControl w:val="false"/>
      <w:suppressAutoHyphens w:val="true"/>
      <w:bidi w:val="0"/>
      <w:jc w:val="left"/>
    </w:pPr>
    <w:rPr>
      <w:rFonts w:ascii="Times;Times New Roman" w:hAnsi="Times;Times New Roman" w:eastAsia="Times;Times New Roman" w:cs="Times;Times New Roman"/>
      <w:color w:val="00000A"/>
      <w:kern w:val="0"/>
      <w:sz w:val="24"/>
      <w:szCs w:val="20"/>
      <w:lang w:val="en-US" w:eastAsia="zh-CN" w:bidi="hi-IN"/>
    </w:rPr>
  </w:style>
  <w:style w:type="character" w:styleId="Fuentedeprrafopredeter">
    <w:name w:val="Fuente de párrafo predeter."/>
    <w:qFormat/>
    <w:rPr/>
  </w:style>
  <w:style w:type="character" w:styleId="DefaultParagraphFont">
    <w:name w:val="Default Paragraph Font"/>
    <w:qFormat/>
    <w:rPr/>
  </w:style>
  <w:style w:type="paragraph" w:styleId="Ttulo">
    <w:name w:val="Título"/>
    <w:basedOn w:val="Normal"/>
    <w:next w:val="Cuerpodetexto"/>
    <w:qFormat/>
    <w:pPr>
      <w:keepNext w:val="true"/>
      <w:spacing w:before="240" w:after="120"/>
    </w:pPr>
    <w:rPr>
      <w:rFonts w:ascii="Liberation Sans;Arial" w:hAnsi="Liberation Sans;Arial" w:eastAsia="Noto Sans CJK SC Regular" w:cs="Lohit Devanagari"/>
      <w:sz w:val="28"/>
      <w:szCs w:val="28"/>
    </w:rPr>
  </w:style>
  <w:style w:type="paragraph" w:styleId="Cuerpodetexto">
    <w:name w:val="Body Text"/>
    <w:basedOn w:val="Normal"/>
    <w:pPr>
      <w:spacing w:before="0" w:after="120"/>
    </w:pPr>
    <w:rPr/>
  </w:style>
  <w:style w:type="paragraph" w:styleId="Lista">
    <w:name w:val="List"/>
    <w:basedOn w:val="Cuerpodetexto"/>
    <w:pPr/>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style>
  <w:style w:type="paragraph" w:styleId="Encabezado1">
    <w:name w:val="Encabezado1"/>
    <w:basedOn w:val="Normal"/>
    <w:qFormat/>
    <w:pPr>
      <w:keepNext w:val="true"/>
      <w:spacing w:before="240" w:after="120"/>
    </w:pPr>
    <w:rPr>
      <w:rFonts w:ascii="Arial" w:hAnsi="Arial" w:eastAsia="Arial Unicode MS" w:cs="Arial Unicode MS"/>
      <w:sz w:val="28"/>
      <w:szCs w:val="28"/>
    </w:rPr>
  </w:style>
  <w:style w:type="paragraph" w:styleId="Etiqueta">
    <w:name w:val="Etiqueta"/>
    <w:basedOn w:val="Normal"/>
    <w:qFormat/>
    <w:pPr>
      <w:suppressLineNumbers/>
      <w:spacing w:before="120" w:after="120"/>
    </w:pPr>
    <w:rPr>
      <w:i/>
      <w:iCs/>
      <w:sz w:val="24"/>
      <w:szCs w:val="24"/>
    </w:rPr>
  </w:style>
  <w:style w:type="paragraph" w:styleId="Contenidodelatabla">
    <w:name w:val="Contenido de la tabla"/>
    <w:basedOn w:val="Normal"/>
    <w:qFormat/>
    <w:pPr>
      <w:suppressLineNumbers/>
    </w:pPr>
    <w:rPr/>
  </w:style>
  <w:style w:type="paragraph" w:styleId="Llenarguiones">
    <w:name w:val="llenar guiones"/>
    <w:basedOn w:val="Normal"/>
    <w:qFormat/>
    <w:pPr>
      <w:tabs>
        <w:tab w:val="right" w:pos="9638" w:leader="hyphen"/>
      </w:tab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61</TotalTime>
  <Application>LibreOffice/6.0.3.2$Linux_X86_64 LibreOffice_project/00m0$Build-2</Application>
  <Pages>3</Pages>
  <Words>2249</Words>
  <Characters>12390</Characters>
  <CharactersWithSpaces>14632</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2018-04-26T19:48:00Z</dcterms:created>
  <dc:creator>Caja Prevision</dc:creator>
  <dc:description/>
  <dc:language>es-AR</dc:language>
  <cp:lastModifiedBy/>
  <cp:lastPrinted>2017-06-05T19:27:00Z</cp:lastPrinted>
  <dcterms:modified xsi:type="dcterms:W3CDTF">2018-06-06T19:14:32Z</dcterms:modified>
  <cp:revision>15</cp:revision>
  <dc:subject/>
  <dc:title>Entre  el Sr</dc:title>
</cp:coreProperties>
</file>