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18"/>
        </w:rPr>
        <w:t>UNIVERSITY CASE STUDY  |  SCENARIO DOCUMENT</w:t>
      </w:r>
    </w:p>
    <w:p>
      <w:pPr>
        <w:pStyle w:val="Title"/>
      </w:pPr>
      <w:r>
        <w:t>Investment memorandum</w:t>
      </w:r>
    </w:p>
    <w:p>
      <w:pPr>
        <w:pStyle w:val="Subtitle"/>
      </w:pPr>
      <w:r>
        <w:t>Alken Aurora European Equity Fund</w:t>
      </w:r>
    </w:p>
    <w:p>
      <w:r>
        <w:rPr>
          <w:b/>
        </w:rPr>
        <w:t>European long/short equity strategy</w:t>
        <w:br/>
        <w:t>Class I EUR accumulation shares</w:t>
        <w:br/>
        <w:t>Information as at 30 September 2026</w:t>
      </w:r>
    </w:p>
    <w:p>
      <w:r>
        <w:rPr>
          <w:b w:val="0"/>
          <w:sz w:val="18"/>
        </w:rPr>
        <w:t>Document AURORA-IM-2026-09  •  Version 1.0  •  Issued 13 October 2026</w:t>
      </w:r>
    </w:p>
    <w:p>
      <w:pPr>
        <w:pStyle w:val="Heading2"/>
      </w:pPr>
      <w:r>
        <w:t>Nature of this document</w:t>
      </w:r>
    </w:p>
    <w:p>
      <w:r>
        <w:rPr>
          <w:b w:val="0"/>
        </w:rPr>
        <w:t>Alken Aurora European Equity Fund is an entirely fictional fund created for a university assignment and to populate the knowledge base of an agent preparing DDQ responses. It is not an Alken product, an approved prospectus or an investment offering. All financial data, holdings, terms, corporate structures and procedures described here are simulated.</w:t>
      </w:r>
    </w:p>
    <w:p>
      <w:r>
        <w:rPr>
          <w:b w:val="0"/>
        </w:rPr>
        <w:t>Alken Asset Management and Nicolas Walewski are real references. The brief biographical note in S03 contains only verified public information. Walewski’s appointment to this fund, the organisation described and all other operational connections are fictional assumptions, without any actual endorsement or affiliation. The other professionals and all named service providers are fictional people and entities.</w:t>
      </w:r>
    </w:p>
    <w:p>
      <w:pPr>
        <w:pStyle w:val="Heading2"/>
      </w:pPr>
      <w:r>
        <w:t>Investment proposition overview</w:t>
      </w:r>
    </w:p>
    <w:p>
      <w:r>
        <w:rPr>
          <w:b w:val="0"/>
        </w:rPr>
        <w:t>The fund seeks capital growth over a minimum five-year horizon by investing in undervalued European companies and taking selective short positions. Net exposure may range from 20% to 70% of net assets; the short book seeks to reduce market risk and profit from company-specific weaknesses. The strategy may lose capital even when hedges are in place.</w:t>
      </w:r>
    </w:p>
    <w:tbl>
      <w:tblPr>
        <w:tblW w:type="auto" w:w="0"/>
        <w:jc w:val="center"/>
        <w:tblLayout w:type="fixed"/>
        <w:tblLook w:firstColumn="1" w:firstRow="1" w:lastColumn="0" w:lastRow="0" w:noHBand="0" w:noVBand="1" w:val="04A0"/>
      </w:tblPr>
      <w:tblGrid>
        <w:gridCol w:w="4535"/>
        <w:gridCol w:w="5102"/>
      </w:tblGrid>
      <w:tr>
        <w:trPr>
          <w:cantSplit/>
          <w:tblHeader/>
        </w:trPr>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Scenario parameter</w:t>
            </w:r>
          </w:p>
        </w:tc>
        <w:tc>
          <w:tcPr>
            <w:tcW w:type="dxa" w:w="51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Value</w:t>
            </w:r>
          </w:p>
        </w:tc>
      </w:tr>
      <w:tr>
        <w:trPr>
          <w:cantSplit/>
        </w:trPr>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Fund net assets</w:t>
            </w:r>
          </w:p>
        </w:tc>
        <w:tc>
          <w:tcPr>
            <w:tcW w:type="dxa" w:w="51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EUR 360 million</w:t>
            </w:r>
          </w:p>
        </w:tc>
      </w:tr>
      <w:tr>
        <w:trPr>
          <w:cantSplit/>
        </w:trPr>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Start of the simulated series</w:t>
            </w:r>
          </w:p>
        </w:tc>
        <w:tc>
          <w:tcPr>
            <w:tcW w:type="dxa" w:w="51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2 January 2023</w:t>
            </w:r>
          </w:p>
        </w:tc>
      </w:tr>
      <w:tr>
        <w:trPr>
          <w:cantSplit/>
        </w:trPr>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Target annual net return</w:t>
            </w:r>
          </w:p>
        </w:tc>
        <w:tc>
          <w:tcPr>
            <w:tcW w:type="dxa" w:w="51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6–9% over a five-year cycle; not guaranteed</w:t>
            </w:r>
          </w:p>
        </w:tc>
      </w:tr>
      <w:tr>
        <w:trPr>
          <w:cantSplit/>
        </w:trPr>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Target volatility</w:t>
            </w:r>
          </w:p>
        </w:tc>
        <w:tc>
          <w:tcPr>
            <w:tcW w:type="dxa" w:w="51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6–10% annualised; not a guaranteed limit</w:t>
            </w:r>
          </w:p>
        </w:tc>
      </w:tr>
      <w:tr>
        <w:trPr>
          <w:cantSplit/>
        </w:trPr>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Exposures at 30 September 2026</w:t>
            </w:r>
          </w:p>
        </w:tc>
        <w:tc>
          <w:tcPr>
            <w:tcW w:type="dxa" w:w="51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Long 95%  |  Short 45%  |  Net 50%  |  Gross 140%</w:t>
            </w:r>
          </w:p>
        </w:tc>
      </w:tr>
      <w:tr>
        <w:trPr>
          <w:cantSplit/>
        </w:trPr>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Simulated Class I return in 2026</w:t>
            </w:r>
          </w:p>
        </w:tc>
        <w:tc>
          <w:tcPr>
            <w:tcW w:type="dxa" w:w="51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6.62% from January to September</w:t>
            </w:r>
          </w:p>
        </w:tc>
      </w:tr>
      <w:tr>
        <w:trPr>
          <w:cantSplit/>
        </w:trPr>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Investor liquidity</w:t>
            </w:r>
          </w:p>
        </w:tc>
        <w:tc>
          <w:tcPr>
            <w:tcW w:type="dxa" w:w="51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Weekly subscriptions and monthly redemptions</w:t>
            </w:r>
          </w:p>
        </w:tc>
      </w:tr>
    </w:tbl>
    <w:p>
      <w:pPr>
        <w:spacing w:after="0"/>
      </w:pPr>
    </w:p>
    <w:p>
      <w:r>
        <w:rPr>
          <w:b w:val="0"/>
          <w:sz w:val="18"/>
        </w:rPr>
        <w:t>The rationale is to combine fundamental stock selection, independent risk oversight and a portfolio largely capable of being liquidated within a few days. The principal trade-offs are reliance on the team, potential losses on both sides of the portfolio, short-selling risk and the ability to defer redemptions in exceptional circumstances.</w:t>
      </w:r>
    </w:p>
    <w:p>
      <w:r>
        <w:br w:type="page"/>
      </w:r>
    </w:p>
    <w:p>
      <w:pPr>
        <w:pStyle w:val="Heading1"/>
      </w:pPr>
      <w:r>
        <w:t>01  Document guide and data scope</w:t>
      </w:r>
    </w:p>
    <w:p>
      <w:r>
        <w:rPr>
          <w:b w:val="0"/>
          <w:sz w:val="18"/>
        </w:rPr>
        <w:t>DDQ reference  S01  |  Scenario owner  Investor Relations</w:t>
      </w:r>
    </w:p>
    <w:p>
      <w:r>
        <w:rPr>
          <w:b w:val="0"/>
        </w:rPr>
        <w:t>This memorandum describes a single, consistent scenario. Unless otherwise stated, amounts are in euros, exposures are percentages of NAV and data refer to the close of business on 30 September 2026. Performance relates exclusively to Class I EUR and is entirely synthetic.</w:t>
      </w:r>
    </w:p>
    <w:tbl>
      <w:tblPr>
        <w:tblW w:type="auto" w:w="0"/>
        <w:jc w:val="center"/>
        <w:tblLayout w:type="fixed"/>
        <w:tblLook w:firstColumn="1" w:firstRow="1" w:lastColumn="0" w:lastRow="0" w:noHBand="0" w:noVBand="1" w:val="04A0"/>
      </w:tblPr>
      <w:tblGrid>
        <w:gridCol w:w="1020"/>
        <w:gridCol w:w="7143"/>
        <w:gridCol w:w="1474"/>
      </w:tblGrid>
      <w:tr>
        <w:trPr>
          <w:cantSplit/>
          <w:tblHeader/>
        </w:trPr>
        <w:tc>
          <w:tcPr>
            <w:tcW w:type="dxa" w:w="102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Section</w:t>
            </w:r>
          </w:p>
        </w:tc>
        <w:tc>
          <w:tcPr>
            <w:tcW w:type="dxa" w:w="714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Contents</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Page</w:t>
            </w:r>
          </w:p>
        </w:tc>
      </w:tr>
      <w:tr>
        <w:trPr>
          <w:cantSplit/>
        </w:trPr>
        <w:tc>
          <w:tcPr>
            <w:tcW w:type="dxa" w:w="102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S01</w:t>
            </w:r>
          </w:p>
        </w:tc>
        <w:tc>
          <w:tcPr>
            <w:tcW w:type="dxa" w:w="714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Document guide and data scope</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2</w:t>
            </w:r>
          </w:p>
        </w:tc>
      </w:tr>
      <w:tr>
        <w:trPr>
          <w:cantSplit/>
        </w:trPr>
        <w:tc>
          <w:tcPr>
            <w:tcW w:type="dxa" w:w="102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S02</w:t>
            </w:r>
          </w:p>
        </w:tc>
        <w:tc>
          <w:tcPr>
            <w:tcW w:type="dxa" w:w="714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Fund identity and principal terms</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3</w:t>
            </w:r>
          </w:p>
        </w:tc>
      </w:tr>
      <w:tr>
        <w:trPr>
          <w:cantSplit/>
        </w:trPr>
        <w:tc>
          <w:tcPr>
            <w:tcW w:type="dxa" w:w="102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S03</w:t>
            </w:r>
          </w:p>
        </w:tc>
        <w:tc>
          <w:tcPr>
            <w:tcW w:type="dxa" w:w="714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Investment manager and professionals</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4</w:t>
            </w:r>
          </w:p>
        </w:tc>
      </w:tr>
      <w:tr>
        <w:trPr>
          <w:cantSplit/>
        </w:trPr>
        <w:tc>
          <w:tcPr>
            <w:tcW w:type="dxa" w:w="102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S04</w:t>
            </w:r>
          </w:p>
        </w:tc>
        <w:tc>
          <w:tcPr>
            <w:tcW w:type="dxa" w:w="714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Governance and responsibilities</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5</w:t>
            </w:r>
          </w:p>
        </w:tc>
      </w:tr>
      <w:tr>
        <w:trPr>
          <w:cantSplit/>
        </w:trPr>
        <w:tc>
          <w:tcPr>
            <w:tcW w:type="dxa" w:w="102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S05</w:t>
            </w:r>
          </w:p>
        </w:tc>
        <w:tc>
          <w:tcPr>
            <w:tcW w:type="dxa" w:w="714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Strategy and investment universe</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6</w:t>
            </w:r>
          </w:p>
        </w:tc>
      </w:tr>
      <w:tr>
        <w:trPr>
          <w:cantSplit/>
        </w:trPr>
        <w:tc>
          <w:tcPr>
            <w:tcW w:type="dxa" w:w="102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S06</w:t>
            </w:r>
          </w:p>
        </w:tc>
        <w:tc>
          <w:tcPr>
            <w:tcW w:type="dxa" w:w="714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Research and portfolio construction</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7</w:t>
            </w:r>
          </w:p>
        </w:tc>
      </w:tr>
      <w:tr>
        <w:trPr>
          <w:cantSplit/>
        </w:trPr>
        <w:tc>
          <w:tcPr>
            <w:tcW w:type="dxa" w:w="102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S07</w:t>
            </w:r>
          </w:p>
        </w:tc>
        <w:tc>
          <w:tcPr>
            <w:tcW w:type="dxa" w:w="714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Portfolio and allocations</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8</w:t>
            </w:r>
          </w:p>
        </w:tc>
      </w:tr>
      <w:tr>
        <w:trPr>
          <w:cantSplit/>
        </w:trPr>
        <w:tc>
          <w:tcPr>
            <w:tcW w:type="dxa" w:w="102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S08</w:t>
            </w:r>
          </w:p>
        </w:tc>
        <w:tc>
          <w:tcPr>
            <w:tcW w:type="dxa" w:w="714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Risk limits and measurement</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9</w:t>
            </w:r>
          </w:p>
        </w:tc>
      </w:tr>
      <w:tr>
        <w:trPr>
          <w:cantSplit/>
        </w:trPr>
        <w:tc>
          <w:tcPr>
            <w:tcW w:type="dxa" w:w="102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S09</w:t>
            </w:r>
          </w:p>
        </w:tc>
        <w:tc>
          <w:tcPr>
            <w:tcW w:type="dxa" w:w="714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Liquidity leverage and counterparties</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10</w:t>
            </w:r>
          </w:p>
        </w:tc>
      </w:tr>
      <w:tr>
        <w:trPr>
          <w:cantSplit/>
        </w:trPr>
        <w:tc>
          <w:tcPr>
            <w:tcW w:type="dxa" w:w="102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S10</w:t>
            </w:r>
          </w:p>
        </w:tc>
        <w:tc>
          <w:tcPr>
            <w:tcW w:type="dxa" w:w="714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Simulated performance and methodology</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11</w:t>
            </w:r>
          </w:p>
        </w:tc>
      </w:tr>
      <w:tr>
        <w:trPr>
          <w:cantSplit/>
        </w:trPr>
        <w:tc>
          <w:tcPr>
            <w:tcW w:type="dxa" w:w="102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S11</w:t>
            </w:r>
          </w:p>
        </w:tc>
        <w:tc>
          <w:tcPr>
            <w:tcW w:type="dxa" w:w="714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Share classes fees and expenses</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12</w:t>
            </w:r>
          </w:p>
        </w:tc>
      </w:tr>
      <w:tr>
        <w:trPr>
          <w:cantSplit/>
        </w:trPr>
        <w:tc>
          <w:tcPr>
            <w:tcW w:type="dxa" w:w="102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S12</w:t>
            </w:r>
          </w:p>
        </w:tc>
        <w:tc>
          <w:tcPr>
            <w:tcW w:type="dxa" w:w="714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Subscriptions and redemptions</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13</w:t>
            </w:r>
          </w:p>
        </w:tc>
      </w:tr>
      <w:tr>
        <w:trPr>
          <w:cantSplit/>
        </w:trPr>
        <w:tc>
          <w:tcPr>
            <w:tcW w:type="dxa" w:w="102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S13</w:t>
            </w:r>
          </w:p>
        </w:tc>
        <w:tc>
          <w:tcPr>
            <w:tcW w:type="dxa" w:w="714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Service providers valuation and NAV</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14</w:t>
            </w:r>
          </w:p>
        </w:tc>
      </w:tr>
      <w:tr>
        <w:trPr>
          <w:cantSplit/>
        </w:trPr>
        <w:tc>
          <w:tcPr>
            <w:tcW w:type="dxa" w:w="102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S14</w:t>
            </w:r>
          </w:p>
        </w:tc>
        <w:tc>
          <w:tcPr>
            <w:tcW w:type="dxa" w:w="714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Operations and controls</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15</w:t>
            </w:r>
          </w:p>
        </w:tc>
      </w:tr>
      <w:tr>
        <w:trPr>
          <w:cantSplit/>
        </w:trPr>
        <w:tc>
          <w:tcPr>
            <w:tcW w:type="dxa" w:w="102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S15</w:t>
            </w:r>
          </w:p>
        </w:tc>
        <w:tc>
          <w:tcPr>
            <w:tcW w:type="dxa" w:w="714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Compliance and data protection</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16</w:t>
            </w:r>
          </w:p>
        </w:tc>
      </w:tr>
      <w:tr>
        <w:trPr>
          <w:cantSplit/>
        </w:trPr>
        <w:tc>
          <w:tcPr>
            <w:tcW w:type="dxa" w:w="102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S16</w:t>
            </w:r>
          </w:p>
        </w:tc>
        <w:tc>
          <w:tcPr>
            <w:tcW w:type="dxa" w:w="714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Sustainability and stewardship</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17</w:t>
            </w:r>
          </w:p>
        </w:tc>
      </w:tr>
      <w:tr>
        <w:trPr>
          <w:cantSplit/>
        </w:trPr>
        <w:tc>
          <w:tcPr>
            <w:tcW w:type="dxa" w:w="102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S17</w:t>
            </w:r>
          </w:p>
        </w:tc>
        <w:tc>
          <w:tcPr>
            <w:tcW w:type="dxa" w:w="714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Security and business continuity</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18</w:t>
            </w:r>
          </w:p>
        </w:tc>
      </w:tr>
      <w:tr>
        <w:trPr>
          <w:cantSplit/>
        </w:trPr>
        <w:tc>
          <w:tcPr>
            <w:tcW w:type="dxa" w:w="102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S18</w:t>
            </w:r>
          </w:p>
        </w:tc>
        <w:tc>
          <w:tcPr>
            <w:tcW w:type="dxa" w:w="714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Investors reporting and capacity</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19</w:t>
            </w:r>
          </w:p>
        </w:tc>
      </w:tr>
      <w:tr>
        <w:trPr>
          <w:cantSplit/>
        </w:trPr>
        <w:tc>
          <w:tcPr>
            <w:tcW w:type="dxa" w:w="102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S19</w:t>
            </w:r>
          </w:p>
        </w:tc>
        <w:tc>
          <w:tcPr>
            <w:tcW w:type="dxa" w:w="714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Risks and adverse scenarios</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20</w:t>
            </w:r>
          </w:p>
        </w:tc>
      </w:tr>
      <w:tr>
        <w:trPr>
          <w:cantSplit/>
        </w:trPr>
        <w:tc>
          <w:tcPr>
            <w:tcW w:type="dxa" w:w="102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S20</w:t>
            </w:r>
          </w:p>
        </w:tc>
        <w:tc>
          <w:tcPr>
            <w:tcW w:type="dxa" w:w="714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Document register and DDQ coverage</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21</w:t>
            </w:r>
          </w:p>
        </w:tc>
      </w:tr>
    </w:tbl>
    <w:p>
      <w:pPr>
        <w:spacing w:after="0"/>
      </w:pPr>
    </w:p>
    <w:p>
      <w:pPr>
        <w:pStyle w:val="Heading2"/>
      </w:pPr>
      <w:r>
        <w:t>Interpreting facts targets and missing information</w:t>
      </w:r>
    </w:p>
    <w:p>
      <w:r>
        <w:rPr>
          <w:b w:val="0"/>
        </w:rPr>
        <w:t>A scenario data point describes the imagined position at the stated date. A target expresses an intention without a guarantee. An internal limit is a hypothetical portfolio rule. An economic term is a condition of the simulated fund. “Not available” means that this document does not support a factual answer: it does not mean zero, an absence of risk or a negative certification.</w:t>
      </w:r>
    </w:p>
    <w:p>
      <w:r>
        <w:rPr>
          <w:b w:val="0"/>
          <w:sz w:val="18"/>
        </w:rPr>
        <w:t>References S01–S20 identify sections that can be cited in a DDQ. This document is an information source; the agent’s operating permissions and sending rules must be defined separately. Nothing in this document authorises actions involving external systems or recipients.</w:t>
      </w:r>
    </w:p>
    <w:p>
      <w:r>
        <w:br w:type="page"/>
      </w:r>
    </w:p>
    <w:p>
      <w:pPr>
        <w:pStyle w:val="Heading1"/>
      </w:pPr>
      <w:r>
        <w:t>02  Fund identity and principal terms</w:t>
      </w:r>
    </w:p>
    <w:p>
      <w:r>
        <w:rPr>
          <w:b w:val="0"/>
          <w:sz w:val="18"/>
        </w:rPr>
        <w:t>DDQ reference  S02  |  Scenario owner  COO and Investor Relations</w:t>
      </w:r>
    </w:p>
    <w:p>
      <w:r>
        <w:rPr>
          <w:b w:val="0"/>
        </w:rPr>
        <w:t>The vehicle is described as an open-ended sub-fund of a Luxembourg SICAV intended for professional investors. This is a fictional contractual structure: no actual registrations, authorisations, passports or regulatory classifications are attributed to the fund.</w:t>
      </w:r>
    </w:p>
    <w:tbl>
      <w:tblPr>
        <w:tblW w:type="auto" w:w="0"/>
        <w:jc w:val="center"/>
        <w:tblLayout w:type="fixed"/>
        <w:tblLook w:firstColumn="1" w:firstRow="1" w:lastColumn="0" w:lastRow="0" w:noHBand="0" w:noVBand="1" w:val="04A0"/>
      </w:tblPr>
      <w:tblGrid>
        <w:gridCol w:w="3005"/>
        <w:gridCol w:w="6633"/>
      </w:tblGrid>
      <w:tr>
        <w:trPr>
          <w:cantSplit/>
          <w:tblHeader/>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Feature</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Simulated fund term</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Name</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Alken Aurora European Equity Fund</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Umbrella vehicle</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Aurora Strategies SICAV, a fictional entity</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Domicile and structure</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Luxembourg; open-ended sub-fund with segregated assets in the scenario</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Product category</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Alternative long/short equity fund; not presented as a UCITS</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Delegated investment manager</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Alken Asset Management, solely in the simulated narrative role</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Vehicle manager</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Meridian Fund Management S.A., a fictional entity</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Portfolio manager</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Nicolas Walewski, appointed to the fund only within the scenario</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Inception date</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2 January 2023; no actual assets or track record</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Base currency and financial year end</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EUR; financial year ending 31 December</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Net assets at 30 September 2026</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EUR 360 million, the sum of Classes I and F</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Share classes</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I EUR and F EUR, both accumulation classes</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NAV</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Calculated on each business day; dealing terms in S12</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Benchmark</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No contractual benchmark; absolute return objective</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Term and recommended horizon</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Indefinite duration in the scenario; minimum five-year horizon</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Use of income</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Dividends and other income reinvested</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Lending of long portfolio securities</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Not permitted under the simulated fund policy</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Permitted instruments</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Listed equities, index futures, currency forwards and cash</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Excluded instruments</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Cryptoassets, unlisted securities, structured credit, options and CFDs</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Public identifiers</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No actual ISIN, LEI or authorisation number assigned</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Case identifier</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AURORA-EQ-LS; internal identifier, not a tradable instrument</w:t>
            </w:r>
          </w:p>
        </w:tc>
      </w:tr>
    </w:tbl>
    <w:p>
      <w:pPr>
        <w:spacing w:after="0"/>
      </w:pPr>
    </w:p>
    <w:p>
      <w:pPr>
        <w:pStyle w:val="Heading2"/>
      </w:pPr>
      <w:r>
        <w:t>Investor profile</w:t>
      </w:r>
    </w:p>
    <w:p>
      <w:r>
        <w:rPr>
          <w:b w:val="0"/>
        </w:rPr>
        <w:t>In this scenario, the strategy is intended for professional investors able to assess derivatives, leverage and monthly liquidity. It provides no capital protection. Individual investor tax circumstances and distribution across jurisdictions are not modelled; this memorandum does not determine individual suitability or tax treatment.</w:t>
      </w:r>
    </w:p>
    <w:p>
      <w:r>
        <w:br w:type="page"/>
      </w:r>
    </w:p>
    <w:p>
      <w:pPr>
        <w:pStyle w:val="Heading1"/>
      </w:pPr>
      <w:r>
        <w:t>03  Investment manager and professionals</w:t>
      </w:r>
    </w:p>
    <w:p>
      <w:r>
        <w:rPr>
          <w:b w:val="0"/>
          <w:sz w:val="18"/>
        </w:rPr>
        <w:t>DDQ reference  S03  |  Scenario owner  CEO and Head of Human Resources</w:t>
      </w:r>
    </w:p>
    <w:p>
      <w:pPr>
        <w:pStyle w:val="Heading2"/>
      </w:pPr>
      <w:r>
        <w:t>Real biographical reference</w:t>
      </w:r>
    </w:p>
    <w:p>
      <w:r>
        <w:rPr>
          <w:b w:val="0"/>
        </w:rPr>
        <w:t>Alken’s official website identifies Nicolas Walewski as Founder, Managing Director and Chief Investment Officer. Alken was established in 2005 as an independent boutique specialising in European equities. These are the only real biographical and corporate details used; no official assets under management, performance figures or organisational charts have been incorporated. Source: Alken Fund, Alken Asset Management page, accessed 13 October 2026.</w:t>
      </w:r>
    </w:p>
    <w:p>
      <w:r>
        <w:rPr>
          <w:b w:val="0"/>
          <w:sz w:val="18"/>
        </w:rPr>
        <w:t>https://www.alken-fund.com/AlkenAssetManagement</w:t>
      </w:r>
    </w:p>
    <w:p>
      <w:pPr>
        <w:pStyle w:val="Heading2"/>
      </w:pPr>
      <w:r>
        <w:t>Entirely simulated role and organisation</w:t>
      </w:r>
    </w:p>
    <w:p>
      <w:r>
        <w:rPr>
          <w:b w:val="0"/>
        </w:rPr>
        <w:t>In this academic case, Walewski assumes the fictional role of Aurora’s lead portfolio manager and chairs the investment committee. The scenario’s investment management firm has 24 employees, EUR 2.4 billion in total assets under management and four strategies. Aurora represents 15% of simulated assets under management. These figures do not describe the real Alken business.</w:t>
      </w:r>
    </w:p>
    <w:tbl>
      <w:tblPr>
        <w:tblW w:type="auto" w:w="0"/>
        <w:jc w:val="center"/>
        <w:tblLayout w:type="fixed"/>
        <w:tblLook w:firstColumn="1" w:firstRow="1" w:lastColumn="0" w:lastRow="0" w:noHBand="0" w:noVBand="1" w:val="04A0"/>
      </w:tblPr>
      <w:tblGrid>
        <w:gridCol w:w="1928"/>
        <w:gridCol w:w="1984"/>
        <w:gridCol w:w="5726"/>
      </w:tblGrid>
      <w:tr>
        <w:trPr>
          <w:cantSplit/>
          <w:tblHeader/>
        </w:trPr>
        <w:tc>
          <w:tcPr>
            <w:tcW w:type="dxa" w:w="19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Professional</w:t>
            </w:r>
          </w:p>
        </w:tc>
        <w:tc>
          <w:tcPr>
            <w:tcW w:type="dxa" w:w="198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Scenario role</w:t>
            </w:r>
          </w:p>
        </w:tc>
        <w:tc>
          <w:tcPr>
            <w:tcW w:type="dxa" w:w="572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Fictional experience and responsibilities</w:t>
            </w:r>
          </w:p>
        </w:tc>
      </w:tr>
      <w:tr>
        <w:trPr>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Nicolas Walewski</w:t>
            </w:r>
          </w:p>
        </w:tc>
        <w:tc>
          <w:tcPr>
            <w:tcW w:type="dxa" w:w="198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Lead portfolio manager</w:t>
            </w:r>
          </w:p>
        </w:tc>
        <w:tc>
          <w:tcPr>
            <w:tcW w:type="dxa" w:w="572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Fictional appointment: final portfolio decisions and research oversight. The real biography is limited to the paragraph above.</w:t>
            </w:r>
          </w:p>
        </w:tc>
      </w:tr>
      <w:tr>
        <w:trPr>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Elena Marchesi</w:t>
            </w:r>
          </w:p>
        </w:tc>
        <w:tc>
          <w:tcPr>
            <w:tcW w:type="dxa" w:w="198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Co portfolio manager</w:t>
            </w:r>
          </w:p>
        </w:tc>
        <w:tc>
          <w:tcPr>
            <w:tcW w:type="dxa" w:w="572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Fictional person; 17 years of hypothetical experience, specialising in European industrials and consumer sectors; deputy to the lead manager.</w:t>
            </w:r>
          </w:p>
        </w:tc>
      </w:tr>
      <w:tr>
        <w:trPr>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Thomas Berger</w:t>
            </w:r>
          </w:p>
        </w:tc>
        <w:tc>
          <w:tcPr>
            <w:tcW w:type="dxa" w:w="198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Head of Research</w:t>
            </w:r>
          </w:p>
        </w:tc>
        <w:tc>
          <w:tcPr>
            <w:tcW w:type="dxa" w:w="572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Fictional person; 14 years of hypothetical experience; coordinates four analysts and validates valuation models.</w:t>
            </w:r>
          </w:p>
        </w:tc>
      </w:tr>
      <w:tr>
        <w:trPr>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Sofia Laurent</w:t>
            </w:r>
          </w:p>
        </w:tc>
        <w:tc>
          <w:tcPr>
            <w:tcW w:type="dxa" w:w="198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Chief Risk Officer</w:t>
            </w:r>
          </w:p>
        </w:tc>
        <w:tc>
          <w:tcPr>
            <w:tcW w:type="dxa" w:w="572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Fictional person; 16 years of hypothetical experience; oversees limits and stress tests independently of the investment team.</w:t>
            </w:r>
          </w:p>
        </w:tc>
      </w:tr>
      <w:tr>
        <w:trPr>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Matteo Rinaldi</w:t>
            </w:r>
          </w:p>
        </w:tc>
        <w:tc>
          <w:tcPr>
            <w:tcW w:type="dxa" w:w="198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COO</w:t>
            </w:r>
          </w:p>
        </w:tc>
        <w:tc>
          <w:tcPr>
            <w:tcW w:type="dxa" w:w="572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Fictional person; 18 years of hypothetical experience; oversees operations, service providers and business continuity.</w:t>
            </w:r>
          </w:p>
        </w:tc>
      </w:tr>
      <w:tr>
        <w:trPr>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Claire Dubois</w:t>
            </w:r>
          </w:p>
        </w:tc>
        <w:tc>
          <w:tcPr>
            <w:tcW w:type="dxa" w:w="198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Chief Compliance Officer</w:t>
            </w:r>
          </w:p>
        </w:tc>
        <w:tc>
          <w:tcPr>
            <w:tcW w:type="dxa" w:w="572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Fictional person; 15 years of hypothetical experience; oversees conflicts, AML and approval of communications.</w:t>
            </w:r>
          </w:p>
        </w:tc>
      </w:tr>
    </w:tbl>
    <w:p>
      <w:pPr>
        <w:spacing w:after="0"/>
      </w:pPr>
    </w:p>
    <w:p>
      <w:r>
        <w:rPr>
          <w:b w:val="0"/>
        </w:rPr>
        <w:t>The 24 simulated employees comprise 8 in investments, 2 in trading, 3 in risk and compliance, 5 in operations and finance, 2 in technology and 4 in investor relations. In 2025 the scenario records 2 joiners and 1 departure, with no change in portfolio managers. Other employees’ names, individual remuneration and personal background checks are not available.</w:t>
      </w:r>
    </w:p>
    <w:p>
      <w:pPr>
        <w:pStyle w:val="Heading2"/>
      </w:pPr>
      <w:r>
        <w:t>Succession and alignment</w:t>
      </w:r>
    </w:p>
    <w:p>
      <w:r>
        <w:rPr>
          <w:b w:val="0"/>
        </w:rPr>
        <w:t>The co portfolio manager may manage exposures within existing limits. An absence of the lead manager exceeding 20 business days triggers a board review and notification to investors within 5 business days of the decision. Team members collectively hold EUR 12 million in the fund; individual amounts are not specified. Under the simulated policy, 40% of the investment team’s variable bonus is deferred over three years.</w:t>
      </w:r>
    </w:p>
    <w:p>
      <w:r>
        <w:br w:type="page"/>
      </w:r>
    </w:p>
    <w:p>
      <w:pPr>
        <w:pStyle w:val="Heading1"/>
      </w:pPr>
      <w:r>
        <w:t>04  Governance and responsibilities</w:t>
      </w:r>
    </w:p>
    <w:p>
      <w:r>
        <w:rPr>
          <w:b w:val="0"/>
          <w:sz w:val="18"/>
        </w:rPr>
        <w:t>DDQ reference  S04  |  Scenario owner  Fund Board</w:t>
      </w:r>
    </w:p>
    <w:p>
      <w:r>
        <w:rPr>
          <w:b w:val="0"/>
        </w:rPr>
        <w:t>The model separates investment decisions, risk control, valuation and payment authorisation. The portfolio manager may reduce risk immediately but cannot independently change limits, NAV or investor terms.</w:t>
      </w:r>
    </w:p>
    <w:tbl>
      <w:tblPr>
        <w:tblW w:type="auto" w:w="0"/>
        <w:jc w:val="center"/>
        <w:tblLayout w:type="fixed"/>
        <w:tblLook w:firstColumn="1" w:firstRow="1" w:lastColumn="0" w:lastRow="0" w:noHBand="0" w:noVBand="1" w:val="04A0"/>
      </w:tblPr>
      <w:tblGrid>
        <w:gridCol w:w="1984"/>
        <w:gridCol w:w="3061"/>
        <w:gridCol w:w="4592"/>
      </w:tblGrid>
      <w:tr>
        <w:trPr>
          <w:cantSplit/>
          <w:tblHeader/>
        </w:trPr>
        <w:tc>
          <w:tcPr>
            <w:tcW w:type="dxa" w:w="198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Body</w:t>
            </w:r>
          </w:p>
        </w:tc>
        <w:tc>
          <w:tcPr>
            <w:tcW w:type="dxa" w:w="306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Scenario composition</w:t>
            </w:r>
          </w:p>
        </w:tc>
        <w:tc>
          <w:tcPr>
            <w:tcW w:type="dxa" w:w="459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Mandate and frequency</w:t>
            </w:r>
          </w:p>
        </w:tc>
      </w:tr>
      <w:tr>
        <w:trPr>
          <w:cantSplit/>
        </w:trPr>
        <w:tc>
          <w:tcPr>
            <w:tcW w:type="dxa" w:w="198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Fund Board</w:t>
            </w:r>
          </w:p>
        </w:tc>
        <w:tc>
          <w:tcPr>
            <w:tcW w:type="dxa" w:w="306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3 members, including 2 independent of the investment manager</w:t>
            </w:r>
          </w:p>
        </w:tc>
        <w:tc>
          <w:tcPr>
            <w:tcW w:type="dxa" w:w="459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Quarterly meetings; approves providers, terms, material conflicts and suspensions.</w:t>
            </w:r>
          </w:p>
        </w:tc>
      </w:tr>
      <w:tr>
        <w:trPr>
          <w:cantSplit/>
        </w:trPr>
        <w:tc>
          <w:tcPr>
            <w:tcW w:type="dxa" w:w="198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Investment Committee</w:t>
            </w:r>
          </w:p>
        </w:tc>
        <w:tc>
          <w:tcPr>
            <w:tcW w:type="dxa" w:w="306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Lead manager, co manager and Head of Research</w:t>
            </w:r>
          </w:p>
        </w:tc>
        <w:tc>
          <w:tcPr>
            <w:tcW w:type="dxa" w:w="459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Weekly meetings; discusses investment theses, position sizing and exits. The lead makes decisions within limits.</w:t>
            </w:r>
          </w:p>
        </w:tc>
      </w:tr>
      <w:tr>
        <w:trPr>
          <w:cantSplit/>
        </w:trPr>
        <w:tc>
          <w:tcPr>
            <w:tcW w:type="dxa" w:w="198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Risk Committee</w:t>
            </w:r>
          </w:p>
        </w:tc>
        <w:tc>
          <w:tcPr>
            <w:tcW w:type="dxa" w:w="306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CRO, COO, CCO and co manager</w:t>
            </w:r>
          </w:p>
        </w:tc>
        <w:tc>
          <w:tcPr>
            <w:tcW w:type="dxa" w:w="459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Monthly and ad hoc meetings for breaches; the CRO can block additional risk taking.</w:t>
            </w:r>
          </w:p>
        </w:tc>
      </w:tr>
      <w:tr>
        <w:trPr>
          <w:cantSplit/>
        </w:trPr>
        <w:tc>
          <w:tcPr>
            <w:tcW w:type="dxa" w:w="198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Valuation Committee</w:t>
            </w:r>
          </w:p>
        </w:tc>
        <w:tc>
          <w:tcPr>
            <w:tcW w:type="dxa" w:w="306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COO, administrator and independent director</w:t>
            </w:r>
          </w:p>
        </w:tc>
        <w:tc>
          <w:tcPr>
            <w:tcW w:type="dxa" w:w="459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Monthly meetings; validates pricing exceptions. The portfolio manager provides evidence without a final vote.</w:t>
            </w:r>
          </w:p>
        </w:tc>
      </w:tr>
      <w:tr>
        <w:trPr>
          <w:cantSplit/>
        </w:trPr>
        <w:tc>
          <w:tcPr>
            <w:tcW w:type="dxa" w:w="198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Conflicts Committee</w:t>
            </w:r>
          </w:p>
        </w:tc>
        <w:tc>
          <w:tcPr>
            <w:tcW w:type="dxa" w:w="306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CCO and two independent directors</w:t>
            </w:r>
          </w:p>
        </w:tc>
        <w:tc>
          <w:tcPr>
            <w:tcW w:type="dxa" w:w="459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Quarterly meetings; may exclude conflicted individuals and require corrections or disclosure.</w:t>
            </w:r>
          </w:p>
        </w:tc>
      </w:tr>
    </w:tbl>
    <w:p>
      <w:pPr>
        <w:spacing w:after="0"/>
      </w:pPr>
    </w:p>
    <w:p>
      <w:pPr>
        <w:pStyle w:val="Heading2"/>
      </w:pPr>
      <w:r>
        <w:t>Breach management</w:t>
      </w:r>
    </w:p>
    <w:p>
      <w:r>
        <w:rPr>
          <w:b w:val="0"/>
        </w:rPr>
        <w:t>A breach caused by a new order is blocked before execution. A passive breach caused by market prices is reported to the CRO on the same day: the position cannot be increased and the team submits a plan within one business day. Compliance with the limit is normally restored within five business days, unless the Risk Committee makes a documented decision to avoid damaging forced sales. Every exception is recorded and reported to the board.</w:t>
      </w:r>
    </w:p>
    <w:p>
      <w:pPr>
        <w:pStyle w:val="Heading2"/>
      </w:pPr>
      <w:r>
        <w:t>Conflicts and order allocation</w:t>
      </w:r>
    </w:p>
    <w:p>
      <w:r>
        <w:rPr>
          <w:b w:val="0"/>
        </w:rPr>
        <w:t>Orders shared across strategies are allocated before execution using predefined, proportional quantities. Average execution prices apply to equivalent aggregated orders; subsequent changes require justification and compliance approval. Transactions between funds managed by the firm are prohibited. Research is paid for by the investment manager rather than through soft commission arrangements charged to the fund.</w:t>
      </w:r>
    </w:p>
    <w:p>
      <w:r>
        <w:rPr>
          <w:b w:val="0"/>
        </w:rPr>
        <w:t>Employees’ personal transactions require prior approval, a restricted list check and a minimum 30-day holding period, except for documented exceptions. Gifts exceeding EUR 150 require preapproval; those above EUR 500 are prohibited by the simulated policy. CRO and compliance remuneration does not depend on Aurora’s performance.</w:t>
      </w:r>
    </w:p>
    <w:p>
      <w:pPr>
        <w:pStyle w:val="Heading2"/>
      </w:pPr>
      <w:r>
        <w:t>Corporate oversight</w:t>
      </w:r>
    </w:p>
    <w:p>
      <w:r>
        <w:rPr>
          <w:b w:val="0"/>
        </w:rPr>
        <w:t>The board annually assesses service provider independence, resource adequacy and team continuity. The scenario contains no signed minutes or actual attestations: the frequencies and powers described constitute the fictional governance model for this case.</w:t>
      </w:r>
    </w:p>
    <w:p>
      <w:r>
        <w:br w:type="page"/>
      </w:r>
    </w:p>
    <w:p>
      <w:pPr>
        <w:pStyle w:val="Heading1"/>
      </w:pPr>
      <w:r>
        <w:t>05  Strategy and investment universe</w:t>
      </w:r>
    </w:p>
    <w:p>
      <w:r>
        <w:rPr>
          <w:b w:val="0"/>
          <w:sz w:val="18"/>
        </w:rPr>
        <w:t>DDQ reference  S05  |  Scenario owner  Portfolio Management</w:t>
      </w:r>
    </w:p>
    <w:p>
      <w:r>
        <w:rPr>
          <w:b w:val="0"/>
        </w:rPr>
        <w:t>Aurora seeks differences between market prices and the fundamental value of European companies. The typical investment horizon is 18–36 months for long positions and 3–18 months for shorts. The target annual net return of 6–9% and volatility of 6–10% are multi-year objectives, not promises or loss limits.</w:t>
      </w:r>
    </w:p>
    <w:p>
      <w:pPr>
        <w:pStyle w:val="Heading2"/>
      </w:pPr>
      <w:r>
        <w:t>Return drivers</w:t>
      </w:r>
    </w:p>
    <w:p>
      <w:r>
        <w:rPr>
          <w:b w:val="0"/>
        </w:rPr>
        <w:t>The long portfolio favours companies with sustainable returns on capital, cash generation and valuations that do not reflect their growth potential. The team seeks an indicative 25% margin of safety relative to estimated value and an identifiable catalyst: margin improvement, debt reduction, corporate restructuring or capital reallocation.</w:t>
      </w:r>
    </w:p>
    <w:p>
      <w:r>
        <w:rPr>
          <w:b w:val="0"/>
        </w:rPr>
        <w:t>The short portfolio targets companies with structural deterioration, weak earnings-to-cash conversion, excessive leverage or expectations that are difficult to meet. Every short thesis must address the cost and availability of stock borrowing, recall risk and a sharp price rally scenario. A high valuation alone does not justify a short position.</w:t>
      </w:r>
    </w:p>
    <w:p>
      <w:pPr>
        <w:pStyle w:val="Heading2"/>
      </w:pPr>
      <w:r>
        <w:t>Universe and instruments</w:t>
      </w:r>
    </w:p>
    <w:p>
      <w:r>
        <w:rPr>
          <w:b w:val="0"/>
        </w:rPr>
        <w:t>The research universe comprises approximately 700 companies listed in the European Economic Area, the United Kingdom and Switzerland. The ordinary minimum market capitalisation is EUR 750 million, with at least EUR 5 million of average daily traded value over 60 sessions. Up to 10% of NAV may be invested in smaller companies provided they meet portfolio liquidity requirements.</w:t>
      </w:r>
    </w:p>
    <w:tbl>
      <w:tblPr>
        <w:tblW w:type="auto" w:w="0"/>
        <w:jc w:val="center"/>
        <w:tblLayout w:type="fixed"/>
        <w:tblLook w:firstColumn="1" w:firstRow="1" w:lastColumn="0" w:lastRow="0" w:noHBand="0" w:noVBand="1" w:val="04A0"/>
      </w:tblPr>
      <w:tblGrid>
        <w:gridCol w:w="3005"/>
        <w:gridCol w:w="6633"/>
      </w:tblGrid>
      <w:tr>
        <w:trPr>
          <w:cantSplit/>
          <w:tblHeader/>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Component</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Scenario range or purpose</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Long equities</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70–110% of NAV; normally 25–40 issuers</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Direct equity shorts</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10–40% of NAV; normally 10–20 issuers</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Short index futures</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0–30% of NAV; market risk hedging</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Net exposure</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20–70% of NAV, including equity futures</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Gross equity exposure</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Maximum 160% of NAV</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Currencies</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Forward hedging; maximum 15% aggregate residual currency exposure</w:t>
            </w:r>
          </w:p>
        </w:tc>
      </w:tr>
      <w:tr>
        <w:trPr>
          <w:cantSplit/>
        </w:trPr>
        <w:tc>
          <w:tcPr>
            <w:tcW w:type="dxa" w:w="300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Cash</w:t>
            </w:r>
          </w:p>
        </w:tc>
        <w:tc>
          <w:tcPr>
            <w:tcW w:type="dxa" w:w="6633"/>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EUR and other operational currencies; no structured or unlisted investments</w:t>
            </w:r>
          </w:p>
        </w:tc>
      </w:tr>
    </w:tbl>
    <w:p>
      <w:pPr>
        <w:spacing w:after="0"/>
      </w:pPr>
    </w:p>
    <w:p>
      <w:pPr>
        <w:pStyle w:val="Heading2"/>
      </w:pPr>
      <w:r>
        <w:t>Sell discipline and thesis review</w:t>
      </w:r>
    </w:p>
    <w:p>
      <w:r>
        <w:rPr>
          <w:b w:val="0"/>
        </w:rPr>
        <w:t>A position is reduced when the price reaches estimated value, a better opportunity becomes available or the facts supporting the thesis change. A 15% loss from the entry price triggers a formal review rather than an automatic sale. For shorts, a 10% increase in the share price triggers review; risk is reduced immediately if the stock borrow is no longer reliable.</w:t>
      </w:r>
    </w:p>
    <w:p>
      <w:r>
        <w:br w:type="page"/>
      </w:r>
    </w:p>
    <w:p>
      <w:pPr>
        <w:pStyle w:val="Heading1"/>
      </w:pPr>
      <w:r>
        <w:t>06  Research and portfolio construction</w:t>
      </w:r>
    </w:p>
    <w:p>
      <w:r>
        <w:rPr>
          <w:b w:val="0"/>
          <w:sz w:val="18"/>
        </w:rPr>
        <w:t>DDQ reference  S06  |  Scenario owner  Head of Research</w:t>
      </w:r>
    </w:p>
    <w:p>
      <w:r>
        <w:rPr>
          <w:b w:val="0"/>
        </w:rPr>
        <w:t>Each investment is documented in a research note covering the thesis, valuation, catalysts, risks, proposed position and exit criteria. The archive retains versions, author and latest review date. The manager uses public sources, financial statements, company disclosures and authorised meetings; potentially inside information triggers a compliance check before trading.</w:t>
      </w:r>
    </w:p>
    <w:tbl>
      <w:tblPr>
        <w:tblW w:type="auto" w:w="0"/>
        <w:jc w:val="center"/>
        <w:tblLayout w:type="fixed"/>
        <w:tblLook w:firstColumn="1" w:firstRow="1" w:lastColumn="0" w:lastRow="0" w:noHBand="0" w:noVBand="1" w:val="04A0"/>
      </w:tblPr>
      <w:tblGrid>
        <w:gridCol w:w="1474"/>
        <w:gridCol w:w="4535"/>
        <w:gridCol w:w="3628"/>
      </w:tblGrid>
      <w:tr>
        <w:trPr>
          <w:cantSplit/>
          <w:tblHeader/>
        </w:trPr>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Stage</w:t>
            </w:r>
          </w:p>
        </w:tc>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Activity</w:t>
            </w:r>
          </w:p>
        </w:tc>
        <w:tc>
          <w:tcPr>
            <w:tcW w:type="dxa" w:w="36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Documented output</w:t>
            </w:r>
          </w:p>
        </w:tc>
      </w:tr>
      <w:tr>
        <w:trPr>
          <w:cantSplit/>
        </w:trPr>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  Screening</w:t>
            </w:r>
          </w:p>
        </w:tc>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Assessment of cash flow, returns on capital, indebtedness and stock liquidity</w:t>
            </w:r>
          </w:p>
        </w:tc>
        <w:tc>
          <w:tcPr>
            <w:tcW w:type="dxa" w:w="36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Watchlist of approximately 120 companies</w:t>
            </w:r>
          </w:p>
        </w:tc>
      </w:tr>
      <w:tr>
        <w:trPr>
          <w:cantSplit/>
        </w:trPr>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2  Analysis</w:t>
            </w:r>
          </w:p>
        </w:tc>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Three-year financial model with base, upside and downside scenarios</w:t>
            </w:r>
          </w:p>
        </w:tc>
        <w:tc>
          <w:tcPr>
            <w:tcW w:type="dxa" w:w="36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Valuation estimate and sensitivity to key drivers</w:t>
            </w:r>
          </w:p>
        </w:tc>
      </w:tr>
      <w:tr>
        <w:trPr>
          <w:cantSplit/>
        </w:trPr>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3  Challenge</w:t>
            </w:r>
          </w:p>
        </w:tc>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A second analyst checks assumptions, accounting and thesis risk</w:t>
            </w:r>
          </w:p>
        </w:tc>
        <w:tc>
          <w:tcPr>
            <w:tcW w:type="dxa" w:w="36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Independent review and recorded objections</w:t>
            </w:r>
          </w:p>
        </w:tc>
      </w:tr>
      <w:tr>
        <w:trPr>
          <w:cantSplit/>
        </w:trPr>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4  Control</w:t>
            </w:r>
          </w:p>
        </w:tc>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ESG, concentration, liquidity, correlations and stock borrow checks</w:t>
            </w:r>
          </w:p>
        </w:tc>
        <w:tc>
          <w:tcPr>
            <w:tcW w:type="dxa" w:w="36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Risk opinion and pre trade checks</w:t>
            </w:r>
          </w:p>
        </w:tc>
      </w:tr>
      <w:tr>
        <w:trPr>
          <w:cantSplit/>
        </w:trPr>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5  Decision</w:t>
            </w:r>
          </w:p>
        </w:tc>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Weekly discussion and position sizing by the portfolio manager</w:t>
            </w:r>
          </w:p>
        </w:tc>
        <w:tc>
          <w:tcPr>
            <w:tcW w:type="dxa" w:w="36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Authorisation and indicative maximum or minimum price</w:t>
            </w:r>
          </w:p>
        </w:tc>
      </w:tr>
      <w:tr>
        <w:trPr>
          <w:cantSplit/>
        </w:trPr>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6  Monitoring</w:t>
            </w:r>
          </w:p>
        </w:tc>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Daily prices and news; monthly thesis review</w:t>
            </w:r>
          </w:p>
        </w:tc>
        <w:tc>
          <w:tcPr>
            <w:tcW w:type="dxa" w:w="36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Documented confirmation, reduction, exit or increase</w:t>
            </w:r>
          </w:p>
        </w:tc>
      </w:tr>
    </w:tbl>
    <w:p>
      <w:pPr>
        <w:spacing w:after="0"/>
      </w:pPr>
    </w:p>
    <w:p>
      <w:pPr>
        <w:pStyle w:val="Heading2"/>
      </w:pPr>
      <w:r>
        <w:t>Position sizing and risk management</w:t>
      </w:r>
    </w:p>
    <w:p>
      <w:r>
        <w:rPr>
          <w:b w:val="0"/>
        </w:rPr>
        <w:t>A new long position normally starts at 1.5–3% of NAV; a direct short starts at 0.5–1.5%. Size depends on downside potential, liquidity and marginal risk contribution as well as conviction. S08 limits take precedence over the manager’s thesis. Index hedges allow rapid changes in risk without indiscriminately selling individual holdings.</w:t>
      </w:r>
    </w:p>
    <w:p>
      <w:r>
        <w:rPr>
          <w:b w:val="0"/>
        </w:rPr>
        <w:t>The operating target for net exposure is 40–60%, within the wider 20–70% limit. The team reviews sector correlations and style factors weekly. Strong correlation between positions in different sectors may prompt a combined reduction; sector labels alone are not considered sufficient to measure diversification.</w:t>
      </w:r>
    </w:p>
    <w:p>
      <w:pPr>
        <w:pStyle w:val="Heading2"/>
      </w:pPr>
      <w:r>
        <w:t>Execution</w:t>
      </w:r>
    </w:p>
    <w:p>
      <w:r>
        <w:rPr>
          <w:b w:val="0"/>
        </w:rPr>
        <w:t>Two traders, separate from the analysts, handle orders and document their choice of intermediary. Execution algorithms may participate in up to 15% of a stock’s expected daily trading volume, with lower limits in less liquid markets. Transaction cost analysis is monthly; the Execution Committee reviews prices, slippage, reliability and broker conflicts each quarter.</w:t>
      </w:r>
    </w:p>
    <w:p>
      <w:r>
        <w:rPr>
          <w:b w:val="0"/>
        </w:rPr>
        <w:t>Annual equity turnover, calculated as the lower of purchases and sales divided by average NAV, is 68% for the twelve months ended September 2026. This metric excludes currency forward renewals and futures rolls. The research, screening and authorisations described are simulated; actual investment research notes are not available.</w:t>
      </w:r>
    </w:p>
    <w:p>
      <w:r>
        <w:br w:type="page"/>
      </w:r>
    </w:p>
    <w:p>
      <w:pPr>
        <w:pStyle w:val="Heading1"/>
      </w:pPr>
      <w:r>
        <w:t>07  Portfolio and allocations</w:t>
      </w:r>
    </w:p>
    <w:p>
      <w:r>
        <w:rPr>
          <w:b w:val="0"/>
          <w:sz w:val="18"/>
        </w:rPr>
        <w:t>DDQ reference  S07  |  Scenario owner  Portfolio Management and Risk</w:t>
      </w:r>
    </w:p>
    <w:p>
      <w:r>
        <w:rPr>
          <w:b w:val="0"/>
        </w:rPr>
        <w:t>Synthetic snapshot at 30 September 2026: 32 long positions, 14 direct equity shorts and 2 short index hedges. Long notional exposure is EUR 342 million; direct shorts total EUR 108 million and short futures EUR 54 million. All companies listed below are fictional.</w:t>
      </w:r>
    </w:p>
    <w:tbl>
      <w:tblPr>
        <w:tblW w:type="auto" w:w="0"/>
        <w:jc w:val="center"/>
        <w:tblLayout w:type="fixed"/>
        <w:tblLook w:firstColumn="1" w:firstRow="1" w:lastColumn="0" w:lastRow="0" w:noHBand="0" w:noVBand="1" w:val="04A0"/>
      </w:tblPr>
      <w:tblGrid>
        <w:gridCol w:w="3458"/>
        <w:gridCol w:w="2721"/>
        <w:gridCol w:w="2154"/>
        <w:gridCol w:w="1304"/>
      </w:tblGrid>
      <w:tr>
        <w:trPr>
          <w:cantSplit/>
          <w:tblHeader/>
        </w:trPr>
        <w:tc>
          <w:tcPr>
            <w:tcW w:type="dxa" w:w="345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Five largest long positions</w:t>
            </w:r>
          </w:p>
        </w:tc>
        <w:tc>
          <w:tcPr>
            <w:tcW w:type="dxa" w:w="272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Sector</w:t>
            </w:r>
          </w:p>
        </w:tc>
        <w:tc>
          <w:tcPr>
            <w:tcW w:type="dxa" w:w="215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Country</w:t>
            </w:r>
          </w:p>
        </w:tc>
        <w:tc>
          <w:tcPr>
            <w:tcW w:type="dxa" w:w="130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Weight in NAV</w:t>
            </w:r>
          </w:p>
        </w:tc>
      </w:tr>
      <w:tr>
        <w:trPr>
          <w:cantSplit/>
        </w:trPr>
        <w:tc>
          <w:tcPr>
            <w:tcW w:type="dxa" w:w="345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Nordholm Automation</w:t>
            </w:r>
          </w:p>
        </w:tc>
        <w:tc>
          <w:tcPr>
            <w:tcW w:type="dxa" w:w="272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Industrials</w:t>
            </w:r>
          </w:p>
        </w:tc>
        <w:tc>
          <w:tcPr>
            <w:tcW w:type="dxa" w:w="215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Sweden</w:t>
            </w:r>
          </w:p>
        </w:tc>
        <w:tc>
          <w:tcPr>
            <w:tcW w:type="dxa" w:w="130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6.0%</w:t>
            </w:r>
          </w:p>
        </w:tc>
      </w:tr>
      <w:tr>
        <w:trPr>
          <w:cantSplit/>
        </w:trPr>
        <w:tc>
          <w:tcPr>
            <w:tcW w:type="dxa" w:w="345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Valnera Software</w:t>
            </w:r>
          </w:p>
        </w:tc>
        <w:tc>
          <w:tcPr>
            <w:tcW w:type="dxa" w:w="272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Technology</w:t>
            </w:r>
          </w:p>
        </w:tc>
        <w:tc>
          <w:tcPr>
            <w:tcW w:type="dxa" w:w="215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Germany</w:t>
            </w:r>
          </w:p>
        </w:tc>
        <w:tc>
          <w:tcPr>
            <w:tcW w:type="dxa" w:w="130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5.5%</w:t>
            </w:r>
          </w:p>
        </w:tc>
      </w:tr>
      <w:tr>
        <w:trPr>
          <w:cantSplit/>
        </w:trPr>
        <w:tc>
          <w:tcPr>
            <w:tcW w:type="dxa" w:w="345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Belmont Healthcare</w:t>
            </w:r>
          </w:p>
        </w:tc>
        <w:tc>
          <w:tcPr>
            <w:tcW w:type="dxa" w:w="272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Healthcare</w:t>
            </w:r>
          </w:p>
        </w:tc>
        <w:tc>
          <w:tcPr>
            <w:tcW w:type="dxa" w:w="215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Switzerland</w:t>
            </w:r>
          </w:p>
        </w:tc>
        <w:tc>
          <w:tcPr>
            <w:tcW w:type="dxa" w:w="130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5.0%</w:t>
            </w:r>
          </w:p>
        </w:tc>
      </w:tr>
      <w:tr>
        <w:trPr>
          <w:cantSplit/>
        </w:trPr>
        <w:tc>
          <w:tcPr>
            <w:tcW w:type="dxa" w:w="345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Asterion Payments</w:t>
            </w:r>
          </w:p>
        </w:tc>
        <w:tc>
          <w:tcPr>
            <w:tcW w:type="dxa" w:w="272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Financials</w:t>
            </w:r>
          </w:p>
        </w:tc>
        <w:tc>
          <w:tcPr>
            <w:tcW w:type="dxa" w:w="215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Netherlands</w:t>
            </w:r>
          </w:p>
        </w:tc>
        <w:tc>
          <w:tcPr>
            <w:tcW w:type="dxa" w:w="130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4.8%</w:t>
            </w:r>
          </w:p>
        </w:tc>
      </w:tr>
      <w:tr>
        <w:trPr>
          <w:cantSplit/>
        </w:trPr>
        <w:tc>
          <w:tcPr>
            <w:tcW w:type="dxa" w:w="345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Cortina Consumer Brands</w:t>
            </w:r>
          </w:p>
        </w:tc>
        <w:tc>
          <w:tcPr>
            <w:tcW w:type="dxa" w:w="272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Consumer discretionary</w:t>
            </w:r>
          </w:p>
        </w:tc>
        <w:tc>
          <w:tcPr>
            <w:tcW w:type="dxa" w:w="215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Italy</w:t>
            </w:r>
          </w:p>
        </w:tc>
        <w:tc>
          <w:tcPr>
            <w:tcW w:type="dxa" w:w="130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4.7%</w:t>
            </w:r>
          </w:p>
        </w:tc>
      </w:tr>
      <w:tr>
        <w:trPr>
          <w:cantSplit/>
        </w:trPr>
        <w:tc>
          <w:tcPr>
            <w:tcW w:type="dxa" w:w="345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Top five total</w:t>
            </w:r>
          </w:p>
        </w:tc>
        <w:tc>
          <w:tcPr>
            <w:tcW w:type="dxa" w:w="272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r>
          </w:p>
        </w:tc>
        <w:tc>
          <w:tcPr>
            <w:tcW w:type="dxa" w:w="215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r>
          </w:p>
        </w:tc>
        <w:tc>
          <w:tcPr>
            <w:tcW w:type="dxa" w:w="130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26.0%</w:t>
            </w:r>
          </w:p>
        </w:tc>
      </w:tr>
    </w:tbl>
    <w:p>
      <w:pPr>
        <w:spacing w:after="0"/>
      </w:pPr>
    </w:p>
    <w:tbl>
      <w:tblPr>
        <w:tblW w:type="auto" w:w="0"/>
        <w:jc w:val="center"/>
        <w:tblLayout w:type="fixed"/>
        <w:tblLook w:firstColumn="1" w:firstRow="1" w:lastColumn="0" w:lastRow="0" w:noHBand="0" w:noVBand="1" w:val="04A0"/>
      </w:tblPr>
      <w:tblGrid>
        <w:gridCol w:w="3969"/>
        <w:gridCol w:w="1474"/>
        <w:gridCol w:w="1814"/>
        <w:gridCol w:w="2381"/>
      </w:tblGrid>
      <w:tr>
        <w:trPr>
          <w:cantSplit/>
          <w:tblHeader/>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Sector exposure</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Long</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Direct shorts</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Net before futures</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Industrials</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24%</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6%</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18%</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Technology</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18%</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7%</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11%</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Healthcare</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14%</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2%</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12%</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Consumer discretionary</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13%</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7%</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6%</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Financials</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12%</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4%</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8%</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Consumer staples</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6%</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2%</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4%</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Energy and materials</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8%</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2%</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6%</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Total equities</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95%</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30%</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65%</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Index futures hedge</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0%</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15%</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−15%</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Total portfolio</w:t>
            </w:r>
          </w:p>
        </w:tc>
        <w:tc>
          <w:tcPr>
            <w:tcW w:type="dxa" w:w="147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95%</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45%</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50%</w:t>
            </w:r>
          </w:p>
        </w:tc>
      </w:tr>
    </w:tbl>
    <w:p>
      <w:pPr>
        <w:spacing w:after="0"/>
      </w:pPr>
    </w:p>
    <w:p>
      <w:r>
        <w:rPr>
          <w:b w:val="0"/>
        </w:rPr>
        <w:t>Geographic long exposures are Germany 22%, France 18%, United Kingdom 14%, Netherlands 12%, Switzerland 10%, Italy 9% and Nordic countries 10%: total 95%. Direct shorts are respectively 7%, 6%, 6%, 4%, 3%, 2% and 2%: total 30%. The data use issuer domicile, not the geography of revenues.</w:t>
      </w:r>
    </w:p>
    <w:p>
      <w:pPr>
        <w:pStyle w:val="Heading2"/>
      </w:pPr>
      <w:r>
        <w:t>Reconciliation to net assets</w:t>
      </w:r>
    </w:p>
    <w:p>
      <w:r>
        <w:rPr>
          <w:b w:val="0"/>
        </w:rPr>
        <w:t>The simplified balance sheet comprises EUR 342 million of long equities and EUR 126 million of cash and deposits, less EUR 108 million of short equity liabilities: NAV EUR 360 million. Net derivative values and accruals are assumed to be zero in this snapshot. Cash is 35% of NAV, but EUR 90 million is restricted as collateral: unrestricted cash is EUR 36 million, or 10%. Futures notional exposure is not added to accounting assets.</w:t>
      </w:r>
    </w:p>
    <w:p>
      <w:r>
        <w:rPr>
          <w:b w:val="0"/>
          <w:sz w:val="18"/>
        </w:rPr>
        <w:t>Adding long and short exposures gives gross exposure of 140%; subtracting them gives net exposure of 50%. A position’s weight is not the same as its contribution to risk. The full list of 46 issuers is not included and must not be reconstructed from this snapshot.</w:t>
      </w:r>
    </w:p>
    <w:p>
      <w:r>
        <w:br w:type="page"/>
      </w:r>
    </w:p>
    <w:p>
      <w:pPr>
        <w:pStyle w:val="Heading1"/>
      </w:pPr>
      <w:r>
        <w:t>08  Risk limits and measurement</w:t>
      </w:r>
    </w:p>
    <w:p>
      <w:r>
        <w:rPr>
          <w:b w:val="0"/>
          <w:sz w:val="18"/>
        </w:rPr>
        <w:t>DDQ reference  S08  |  Scenario owner  Chief Risk Officer</w:t>
      </w:r>
    </w:p>
    <w:p>
      <w:r>
        <w:rPr>
          <w:b w:val="0"/>
        </w:rPr>
        <w:t>The CRO measures exposures, concentration, liquidity, currency risk and scenario losses daily. These limits are fictional internal rules for Aurora, not regulatory limits for a category of funds. The following metrics describe the position at 30 September 2026.</w:t>
      </w:r>
    </w:p>
    <w:tbl>
      <w:tblPr>
        <w:tblW w:type="auto" w:w="0"/>
        <w:jc w:val="center"/>
        <w:tblLayout w:type="fixed"/>
        <w:tblLook w:firstColumn="1" w:firstRow="1" w:lastColumn="0" w:lastRow="0" w:noHBand="0" w:noVBand="1" w:val="04A0"/>
      </w:tblPr>
      <w:tblGrid>
        <w:gridCol w:w="3969"/>
        <w:gridCol w:w="3402"/>
        <w:gridCol w:w="2268"/>
      </w:tblGrid>
      <w:tr>
        <w:trPr>
          <w:cantSplit/>
          <w:tblHeader/>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Indicator</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Limit or threshold</w:t>
            </w:r>
          </w:p>
        </w:tc>
        <w:tc>
          <w:tcPr>
            <w:tcW w:type="dxa" w:w="226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Simulated value</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Gross equity exposure</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Maximum 160% of NAV</w:t>
            </w:r>
          </w:p>
        </w:tc>
        <w:tc>
          <w:tcPr>
            <w:tcW w:type="dxa" w:w="226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140%</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Net equity exposure</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Between 20% and 70% of NAV</w:t>
            </w:r>
          </w:p>
        </w:tc>
        <w:tc>
          <w:tcPr>
            <w:tcW w:type="dxa" w:w="226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50%</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Single long issuer</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Maximum 7% of NAV</w:t>
            </w:r>
          </w:p>
        </w:tc>
        <w:tc>
          <w:tcPr>
            <w:tcW w:type="dxa" w:w="226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Highest observed 6%</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Single direct short issuer</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Maximum 3% of NAV</w:t>
            </w:r>
          </w:p>
        </w:tc>
        <w:tc>
          <w:tcPr>
            <w:tcW w:type="dxa" w:w="226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Highest observed 2.8%</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Single long sector</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Maximum 30% of NAV</w:t>
            </w:r>
          </w:p>
        </w:tc>
        <w:tc>
          <w:tcPr>
            <w:tcW w:type="dxa" w:w="226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Highest observed 24%</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Five largest long positions</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Maximum 30% of NAV</w:t>
            </w:r>
          </w:p>
        </w:tc>
        <w:tc>
          <w:tcPr>
            <w:tcW w:type="dxa" w:w="226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26%</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Residual currency exposure</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Maximum 15% of NAV in aggregate absolute terms</w:t>
            </w:r>
          </w:p>
        </w:tc>
        <w:tc>
          <w:tcPr>
            <w:tcW w:type="dxa" w:w="226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8%</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20-day historical VaR at 99%</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Alert at 7%; not a maximum loss</w:t>
            </w:r>
          </w:p>
        </w:tc>
        <w:tc>
          <w:tcPr>
            <w:tcW w:type="dxa" w:w="226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5.8% of NAV</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20-day expected shortfall at 99%</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Alert at 10%; not a maximum loss</w:t>
            </w:r>
          </w:p>
        </w:tc>
        <w:tc>
          <w:tcPr>
            <w:tcW w:type="dxa" w:w="226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8.2% of NAV</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Drawdown from daily peak</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Review at −6%; committee at −8%</w:t>
            </w:r>
          </w:p>
        </w:tc>
        <w:tc>
          <w:tcPr>
            <w:tcW w:type="dxa" w:w="226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−2.4% at the reference date</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Unrestricted cash</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Operating minimum 5% of NAV</w:t>
            </w:r>
          </w:p>
        </w:tc>
        <w:tc>
          <w:tcPr>
            <w:tcW w:type="dxa" w:w="226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10%</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Credit exposure per counterparty</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Maximum 10% of NAV after eligible collateral</w:t>
            </w:r>
          </w:p>
        </w:tc>
        <w:tc>
          <w:tcPr>
            <w:tcW w:type="dxa" w:w="226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Highest observed 10%</w:t>
            </w:r>
          </w:p>
        </w:tc>
      </w:tr>
    </w:tbl>
    <w:p>
      <w:pPr>
        <w:spacing w:after="0"/>
      </w:pPr>
    </w:p>
    <w:p>
      <w:pPr>
        <w:pStyle w:val="Heading2"/>
      </w:pPr>
      <w:r>
        <w:t>Methods and frequencies</w:t>
      </w:r>
    </w:p>
    <w:p>
      <w:r>
        <w:rPr>
          <w:b w:val="0"/>
        </w:rPr>
        <w:t>VaR and expected shortfall use a rolling three-year window of daily risk-factor movements applied to the current portfolio. The calculations include futures delta, currency risk and short positions. The underlying daily data are not included in the memorandum: VaR and expected shortfall are scenario values, not outputs that can be recalculated from the monthly series in S10.</w:t>
      </w:r>
    </w:p>
    <w:p>
      <w:r>
        <w:rPr>
          <w:b w:val="0"/>
        </w:rPr>
        <w:t>The 8% residual currency exposure comprises GBP 4%, CHF 3% and Nordic currencies 1%. Other non-euro exposures are hedged with forwards. Total currency forward notional is 25% of NAV; it is excluded from the internal gross equity exposure metric of 140%. No regulatory measure of overall leverage is reported.</w:t>
      </w:r>
    </w:p>
    <w:p>
      <w:pPr>
        <w:pStyle w:val="Heading2"/>
      </w:pPr>
      <w:r>
        <w:t>Responses to events</w:t>
      </w:r>
    </w:p>
    <w:p>
      <w:r>
        <w:rPr>
          <w:b w:val="0"/>
        </w:rPr>
        <w:t>Reaching the VaR threshold requires a same-day review, suspension of risk increases and an action plan from the portfolio manager. A drawdown of −8% triggers an extraordinary committee meeting within one business day to assess reductions in gross exposure and concentration. These thresholds do not establish a guaranteed loss level or prevent sudden market movements.</w:t>
      </w:r>
    </w:p>
    <w:p>
      <w:r>
        <w:rPr>
          <w:b w:val="0"/>
          <w:sz w:val="18"/>
        </w:rPr>
        <w:t>The CRO performs pre trade and post trade checks; the board receives a monthly report and a summary of exceptions. No active limit breach is assumed at 30 September 2026. The daily drawdown measure and the monthly measure in S10 use different frequencies and have different meanings.</w:t>
      </w:r>
    </w:p>
    <w:p>
      <w:r>
        <w:br w:type="page"/>
      </w:r>
    </w:p>
    <w:p>
      <w:pPr>
        <w:pStyle w:val="Heading1"/>
      </w:pPr>
      <w:r>
        <w:t>09  Liquidity leverage and counterparties</w:t>
      </w:r>
    </w:p>
    <w:p>
      <w:r>
        <w:rPr>
          <w:b w:val="0"/>
          <w:sz w:val="18"/>
        </w:rPr>
        <w:t>DDQ reference  S09  |  Scenario owner  Risk and Treasury</w:t>
      </w:r>
    </w:p>
    <w:p>
      <w:pPr>
        <w:pStyle w:val="Heading2"/>
      </w:pPr>
      <w:r>
        <w:t>Investment liquidity</w:t>
      </w:r>
    </w:p>
    <w:p>
      <w:r>
        <w:rPr>
          <w:b w:val="0"/>
        </w:rPr>
        <w:t>The liquidation estimate assumes sales or buybacks of up to 15% of average daily trading volumes over 60 sessions, open markets and no shock. Percentages show the cumulative proportion of the absolute notional of long equities and direct shorts, excluding cash and futures; they are not proportions of net assets immediately available for redemption.</w:t>
      </w:r>
    </w:p>
    <w:tbl>
      <w:tblPr>
        <w:tblW w:type="auto" w:w="0"/>
        <w:jc w:val="center"/>
        <w:tblLayout w:type="fixed"/>
        <w:tblLook w:firstColumn="1" w:firstRow="1" w:lastColumn="0" w:lastRow="0" w:noHBand="0" w:noVBand="1" w:val="04A0"/>
      </w:tblPr>
      <w:tblGrid>
        <w:gridCol w:w="3969"/>
        <w:gridCol w:w="2835"/>
        <w:gridCol w:w="2835"/>
      </w:tblGrid>
      <w:tr>
        <w:trPr>
          <w:cantSplit/>
          <w:tblHeader/>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Liquidation period</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Normal conditions</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Trading volumes halved</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Within one business day</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65%</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40%</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Within three business days</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88%</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65%</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Within five business days</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97%</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82%</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Within ten business days</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100%</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97%</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Within twenty business days</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100%</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100%</w:t>
            </w:r>
          </w:p>
        </w:tc>
      </w:tr>
    </w:tbl>
    <w:p>
      <w:pPr>
        <w:spacing w:after="0"/>
      </w:pPr>
    </w:p>
    <w:p>
      <w:r>
        <w:rPr>
          <w:b w:val="0"/>
        </w:rPr>
        <w:t>The policy requires at least 90% of equity notional to be liquidatable within five days under normal conditions. The snapshot value of 97% meets this requirement. Concentrated redemption requests, suspended securities and stock borrow recalls may reduce effective liquidity. Unlisted positions and side pockets are prohibited.</w:t>
      </w:r>
    </w:p>
    <w:p>
      <w:pPr>
        <w:pStyle w:val="Heading2"/>
      </w:pPr>
      <w:r>
        <w:t>Financing and collateral</w:t>
      </w:r>
    </w:p>
    <w:p>
      <w:r>
        <w:rPr>
          <w:b w:val="0"/>
        </w:rPr>
        <w:t>No structural bank borrowing is planned. A cash facility of up to 10% of NAV may be used for no more than ten business days to bridge settlement mismatches; utilisation at the reference date is zero. Short selling and derivatives nevertheless create economic leverage and margin obligations. Gross equity exposure is therefore not a comprehensive measure of financing risk.</w:t>
      </w:r>
    </w:p>
    <w:p>
      <w:r>
        <w:rPr>
          <w:b w:val="0"/>
        </w:rPr>
        <w:t>Total cash and deposits are EUR 126 million: EUR 90 million restricted and EUR 36 million unrestricted. The liquidity plan includes a stress involving additional margin calls of 5% of NAV, or EUR 18 million. In that isolated scenario, opening unrestricted cash covers the requirement twice, before any redemptions or other simultaneous shocks.</w:t>
      </w:r>
    </w:p>
    <w:tbl>
      <w:tblPr>
        <w:tblW w:type="auto" w:w="0"/>
        <w:jc w:val="center"/>
        <w:tblLayout w:type="fixed"/>
        <w:tblLook w:firstColumn="1" w:firstRow="1" w:lastColumn="0" w:lastRow="0" w:noHBand="0" w:noVBand="1" w:val="04A0"/>
      </w:tblPr>
      <w:tblGrid>
        <w:gridCol w:w="2835"/>
        <w:gridCol w:w="2721"/>
        <w:gridCol w:w="4082"/>
      </w:tblGrid>
      <w:tr>
        <w:trPr>
          <w:cantSplit/>
          <w:tblHeader/>
        </w:trPr>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Fictional counterparty</w:t>
            </w:r>
          </w:p>
        </w:tc>
        <w:tc>
          <w:tcPr>
            <w:tcW w:type="dxa" w:w="272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Service</w:t>
            </w:r>
          </w:p>
        </w:tc>
        <w:tc>
          <w:tcPr>
            <w:tcW w:type="dxa" w:w="408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Simulated concentration</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Aster Prime Securities</w:t>
            </w:r>
          </w:p>
        </w:tc>
        <w:tc>
          <w:tcPr>
            <w:tcW w:type="dxa" w:w="272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Prime brokerage and stock borrowing</w:t>
            </w:r>
          </w:p>
        </w:tc>
        <w:tc>
          <w:tcPr>
            <w:tcW w:type="dxa" w:w="408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60% of short stock borrows; net credit exposure 4% of NAV</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Boreal Prime Markets</w:t>
            </w:r>
          </w:p>
        </w:tc>
        <w:tc>
          <w:tcPr>
            <w:tcW w:type="dxa" w:w="272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Second prime broker</w:t>
            </w:r>
          </w:p>
        </w:tc>
        <w:tc>
          <w:tcPr>
            <w:tcW w:type="dxa" w:w="408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40% of short stock borrows; net credit exposure 3% of NAV</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Cobalt Clearing Europe</w:t>
            </w:r>
          </w:p>
        </w:tc>
        <w:tc>
          <w:tcPr>
            <w:tcW w:type="dxa" w:w="272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Futures clearing</w:t>
            </w:r>
          </w:p>
        </w:tc>
        <w:tc>
          <w:tcPr>
            <w:tcW w:type="dxa" w:w="408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100% of futures; operational concentration monitored</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Lumen Depositary Bank</w:t>
            </w:r>
          </w:p>
        </w:tc>
        <w:tc>
          <w:tcPr>
            <w:tcW w:type="dxa" w:w="272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Custody and operational banking</w:t>
            </w:r>
          </w:p>
        </w:tc>
        <w:tc>
          <w:tcPr>
            <w:tcW w:type="dxa" w:w="408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Unrestricted cash EUR 36 million; net credit exposure 10% of NAV</w:t>
            </w:r>
          </w:p>
        </w:tc>
      </w:tr>
    </w:tbl>
    <w:p>
      <w:pPr>
        <w:spacing w:after="0"/>
      </w:pPr>
    </w:p>
    <w:p>
      <w:r>
        <w:rPr>
          <w:b w:val="0"/>
          <w:sz w:val="18"/>
        </w:rPr>
        <w:t>The value of stock borrows is not the same as residual credit exposure after collateral. Legal recovery risk and collateral reuse risk remain. The scenario’s agreements prohibit reuse of fully paid long assets; margin treatment depends on the simulated contracts. Copies of those contracts are not available.</w:t>
      </w:r>
    </w:p>
    <w:p>
      <w:r>
        <w:br w:type="page"/>
      </w:r>
    </w:p>
    <w:p>
      <w:pPr>
        <w:pStyle w:val="Heading1"/>
      </w:pPr>
      <w:r>
        <w:t>10  Simulated performance and methodology</w:t>
      </w:r>
    </w:p>
    <w:p>
      <w:r>
        <w:rPr>
          <w:b w:val="0"/>
          <w:sz w:val="18"/>
        </w:rPr>
        <w:t>DDQ reference  S10  |  Scenario owner  Fund Accounting</w:t>
      </w:r>
    </w:p>
    <w:p>
      <w:r>
        <w:rPr>
          <w:b w:val="0"/>
        </w:rPr>
        <w:t>The table shows invented monthly returns for Class I EUR, net of management fees, performance fee accruals, operating expenses and trading costs. It does not represent Alken results or a backtest of an executed strategy. The series is constructed directly on a net basis; daily accounts and accruals have not been reconstructed.</w:t>
      </w:r>
    </w:p>
    <w:tbl>
      <w:tblPr>
        <w:tblW w:type="auto" w:w="0"/>
        <w:jc w:val="center"/>
        <w:tblLayout w:type="fixed"/>
        <w:tblLook w:firstColumn="1" w:firstRow="1" w:lastColumn="0" w:lastRow="0" w:noHBand="0" w:noVBand="1" w:val="04A0"/>
      </w:tblPr>
      <w:tblGrid>
        <w:gridCol w:w="2835"/>
        <w:gridCol w:w="1701"/>
        <w:gridCol w:w="1701"/>
        <w:gridCol w:w="1701"/>
        <w:gridCol w:w="1701"/>
      </w:tblGrid>
      <w:tr>
        <w:trPr>
          <w:cantSplit/>
          <w:tblHeader/>
        </w:trPr>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Month</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2023</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2024</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2025</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2026</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January</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+2.1%</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+1.2%</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+2.2%</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+1.4%</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February</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+1.4%</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+1.8%</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+1.3%</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+0.8%</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March</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-1.8%</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+2.3%</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-2.6%</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-2.1%</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April</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+1.2%</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-1.7%</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-3.1%</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+1.6%</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May</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+0.7%</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+1.5%</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+2.7%</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+1.9%</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June</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+1.6%</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+0.9%</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+1.8%</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-0.7%</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July</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+1.3%</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-0.8%</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+1.2%</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+1.2%</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August</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-0.9%</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+1.4%</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+0.9%</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+0.9%</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September</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-1.4%</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+1.1%</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-1.4%</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+1.5%</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October</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+1.1%</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-1.2%</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+1.6%</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Not yet accrued</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November</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+2.4%</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+1.7%</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+1.1%</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Not yet accrued</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December</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+1.8%</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+0.8%</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+1.9%</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Not yet accrued</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Full year / year to date</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9.81%</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9.28%</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7.65%</w:t>
            </w:r>
          </w:p>
        </w:tc>
        <w:tc>
          <w:tcPr>
            <w:tcW w:type="dxa" w:w="170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6.62%</w:t>
            </w:r>
          </w:p>
        </w:tc>
      </w:tr>
    </w:tbl>
    <w:p>
      <w:pPr>
        <w:spacing w:after="0"/>
      </w:pPr>
    </w:p>
    <w:tbl>
      <w:tblPr>
        <w:tblW w:type="auto" w:w="0"/>
        <w:jc w:val="center"/>
        <w:tblLayout w:type="fixed"/>
        <w:tblLook w:firstColumn="1" w:firstRow="1" w:lastColumn="0" w:lastRow="0" w:noHBand="0" w:noVBand="1" w:val="04A0"/>
      </w:tblPr>
      <w:tblGrid>
        <w:gridCol w:w="6236"/>
        <w:gridCol w:w="3402"/>
      </w:tblGrid>
      <w:tr>
        <w:trPr>
          <w:cantSplit/>
          <w:tblHeader/>
        </w:trPr>
        <w:tc>
          <w:tcPr>
            <w:tcW w:type="dxa" w:w="623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Class I metric</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Simulated result</w:t>
            </w:r>
          </w:p>
        </w:tc>
      </w:tr>
      <w:tr>
        <w:trPr>
          <w:cantSplit/>
        </w:trPr>
        <w:tc>
          <w:tcPr>
            <w:tcW w:type="dxa" w:w="623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Opening NAV at 2 January 2023</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EUR 100.00 per share</w:t>
            </w:r>
          </w:p>
        </w:tc>
      </w:tr>
      <w:tr>
        <w:trPr>
          <w:cantSplit/>
        </w:trPr>
        <w:tc>
          <w:tcPr>
            <w:tcW w:type="dxa" w:w="623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NAV at 30 September 2026</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EUR 137.74 per share</w:t>
            </w:r>
          </w:p>
        </w:tc>
      </w:tr>
      <w:tr>
        <w:trPr>
          <w:cantSplit/>
        </w:trPr>
        <w:tc>
          <w:tcPr>
            <w:tcW w:type="dxa" w:w="623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Cumulative return since inception</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37.74%</w:t>
            </w:r>
          </w:p>
        </w:tc>
      </w:tr>
      <w:tr>
        <w:trPr>
          <w:cantSplit/>
        </w:trPr>
        <w:tc>
          <w:tcPr>
            <w:tcW w:type="dxa" w:w="623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Annualised return over 45 months</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8.91%</w:t>
            </w:r>
          </w:p>
        </w:tc>
      </w:tr>
      <w:tr>
        <w:trPr>
          <w:cantSplit/>
        </w:trPr>
        <w:tc>
          <w:tcPr>
            <w:tcW w:type="dxa" w:w="623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Annualised volatility from 45 monthly returns</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5.04%</w:t>
            </w:r>
          </w:p>
        </w:tc>
      </w:tr>
      <w:tr>
        <w:trPr>
          <w:cantSplit/>
        </w:trPr>
        <w:tc>
          <w:tcPr>
            <w:tcW w:type="dxa" w:w="623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Maximum drawdown from monthly observations</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-5.62%</w:t>
            </w:r>
          </w:p>
        </w:tc>
      </w:tr>
      <w:tr>
        <w:trPr>
          <w:cantSplit/>
        </w:trPr>
        <w:tc>
          <w:tcPr>
            <w:tcW w:type="dxa" w:w="623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Positive months</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34 out of 45</w:t>
            </w:r>
          </w:p>
        </w:tc>
      </w:tr>
      <w:tr>
        <w:trPr>
          <w:cantSplit/>
        </w:trPr>
        <w:tc>
          <w:tcPr>
            <w:tcW w:type="dxa" w:w="623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Worst month</w:t>
            </w:r>
          </w:p>
        </w:tc>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-3.10%; April 2025</w:t>
            </w:r>
          </w:p>
        </w:tc>
      </w:tr>
    </w:tbl>
    <w:p>
      <w:pPr>
        <w:spacing w:after="0"/>
      </w:pPr>
    </w:p>
    <w:p>
      <w:pPr>
        <w:pStyle w:val="Heading2"/>
      </w:pPr>
      <w:r>
        <w:t>Calculation conventions and limitations</w:t>
      </w:r>
    </w:p>
    <w:p>
      <w:r>
        <w:rPr>
          <w:b w:val="0"/>
        </w:rPr>
        <w:t>The annual return is the product of one plus each monthly return, minus one. The cumulative return uses all 45 months; the annualised return raises the cumulative growth factor to the power 12/45. Volatility is the sample standard deviation of monthly returns multiplied by the square root of 12. Drawdown compares each monthly NAV with the previous peak, including the initial NAV.</w:t>
      </w:r>
    </w:p>
    <w:p>
      <w:r>
        <w:rPr>
          <w:b w:val="0"/>
          <w:sz w:val="18"/>
        </w:rPr>
        <w:t>The 2026 data cover January–September only and are not annualised. Drawdown calculated monthly may understate intramonth losses. NAV per share does not determine fund assets without the number of shares and cash flows: asset growth is not the same as investment return. Gross returns, benchmark data, a Sharpe ratio and Class F performance are not available.</w:t>
      </w:r>
    </w:p>
    <w:p>
      <w:r>
        <w:br w:type="page"/>
      </w:r>
    </w:p>
    <w:p>
      <w:pPr>
        <w:pStyle w:val="Heading1"/>
      </w:pPr>
      <w:r>
        <w:t>11  Share classes fees and expenses</w:t>
      </w:r>
    </w:p>
    <w:p>
      <w:r>
        <w:rPr>
          <w:b w:val="0"/>
          <w:sz w:val="18"/>
        </w:rPr>
        <w:t>DDQ reference  S11  |  Scenario owner  Fund Accounting and Investor Relations</w:t>
      </w:r>
    </w:p>
    <w:p>
      <w:r>
        <w:rPr>
          <w:b w:val="0"/>
        </w:rPr>
        <w:t>The following terms are entirely fictional. The classes share the same portfolio but have different costs and NAVs. Minimum amounts are not legal eligibility criteria. Class F is reserved for investors who entered during the initial period and has been closed to new subscriptions since 1 January 2025, including additions by existing investors.</w:t>
      </w:r>
    </w:p>
    <w:tbl>
      <w:tblPr>
        <w:tblW w:type="auto" w:w="0"/>
        <w:jc w:val="center"/>
        <w:tblLayout w:type="fixed"/>
        <w:tblLook w:firstColumn="1" w:firstRow="1" w:lastColumn="0" w:lastRow="0" w:noHBand="0" w:noVBand="1" w:val="04A0"/>
      </w:tblPr>
      <w:tblGrid>
        <w:gridCol w:w="3969"/>
        <w:gridCol w:w="2835"/>
        <w:gridCol w:w="2835"/>
      </w:tblGrid>
      <w:tr>
        <w:trPr>
          <w:cantSplit/>
          <w:tblHeader/>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Term</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Class I EUR</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Class F EUR</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Net assets at 30 September 2026</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EUR 288 million</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EUR 72 million</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Share of fund NAV</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80%</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20%</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Minimum initial investment</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EUR 1 million</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EUR 5 million at launch</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Minimum additional investment</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EUR 100,000</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Not permitted since closure</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Annual management fee</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0.85%</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0.60%</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Performance fee</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15% of eligible excess profit</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15% of eligible excess profit</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Simple annual hurdle</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4%</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4%</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High water mark</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Permanent for each subscription series</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Permanent for each subscription series</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Entry or exit fees</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None</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None</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Income treatment</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Accumulation</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Accumulation</w:t>
            </w:r>
          </w:p>
        </w:tc>
      </w:tr>
    </w:tbl>
    <w:p>
      <w:pPr>
        <w:spacing w:after="0"/>
      </w:pPr>
    </w:p>
    <w:p>
      <w:pPr>
        <w:pStyle w:val="Heading2"/>
      </w:pPr>
      <w:r>
        <w:t>Fee calculation</w:t>
      </w:r>
    </w:p>
    <w:p>
      <w:r>
        <w:rPr>
          <w:b w:val="0"/>
        </w:rPr>
        <w:t>The management fee accrues daily on class NAV before the accrual, using an actual/365 convention, and is paid monthly. Estimated ordinary operating expenses are 0.20% of NAV annually for both classes. The simulated contractual cap is 0.25%: the manager bears any excess ordinary expenses. Research and distribution are paid for by the manager.</w:t>
      </w:r>
    </w:p>
    <w:p>
      <w:r>
        <w:rPr>
          <w:b w:val="0"/>
        </w:rPr>
        <w:t>The performance fee accrues daily and crystallises on 31 December and on redemption of an individual series. The threshold is the higher of the historical high water mark and beginning-of-year NAV increased by a simple 4% hurdle, prorated for time. The 15% fee applies only to the portion of NAV, after other costs and before the performance fee, that exceeds this threshold. An unmet hurdle is not carried forward; the high water mark is not reset.</w:t>
      </w:r>
    </w:p>
    <w:p>
      <w:r>
        <w:rPr>
          <w:b w:val="0"/>
        </w:rPr>
        <w:t>Subscriptions are accounted for in separate series to avoid transferring fees between investors who entered at different times. Following crystallisation, the high water mark becomes the higher of its previous level and the series’ net NAV. Within the scenario, the administrator’s full methodology governs rounding and intraday allocations; its manual is not attached.</w:t>
      </w:r>
    </w:p>
    <w:p>
      <w:pPr>
        <w:pStyle w:val="Heading2"/>
      </w:pPr>
      <w:r>
        <w:t>Numerical example without cash flows</w:t>
      </w:r>
    </w:p>
    <w:p>
      <w:r>
        <w:rPr>
          <w:b w:val="0"/>
        </w:rPr>
        <w:t>For a series with opening capital of EUR 1,000,000, a high water mark of EUR 1,080,000 and a year-end value after other costs of EUR 1,120,000, the hurdle is EUR 1,040,000. The higher threshold is EUR 1,080,000, making the performance fee base EUR 40,000. The fee is EUR 6,000 and the final net value is EUR 1,114,000. The new high water mark is EUR 1,114,000.</w:t>
      </w:r>
    </w:p>
    <w:p>
      <w:r>
        <w:rPr>
          <w:b w:val="0"/>
          <w:sz w:val="18"/>
        </w:rPr>
        <w:t>Trading, stock borrowing, financing and extraordinary expenses remain outside the operating expense cap. The totals of 1.05% for I and 0.80% for F represent only management fees plus estimated ordinary expenses: they are not total cost measures. Redemptions may involve an anti-dilution adjustment, described in S12.</w:t>
      </w:r>
    </w:p>
    <w:p>
      <w:r>
        <w:br w:type="page"/>
      </w:r>
    </w:p>
    <w:p>
      <w:pPr>
        <w:pStyle w:val="Heading1"/>
      </w:pPr>
      <w:r>
        <w:t>12  Subscriptions and redemptions</w:t>
      </w:r>
    </w:p>
    <w:p>
      <w:r>
        <w:rPr>
          <w:b w:val="0"/>
          <w:sz w:val="18"/>
        </w:rPr>
        <w:t>DDQ reference  S12  |  Scenario owner  Transfer Agent and COO</w:t>
      </w:r>
    </w:p>
    <w:p>
      <w:r>
        <w:rPr>
          <w:b w:val="0"/>
        </w:rPr>
        <w:t>These terms are hypothetical fund conditions. A “business day” is a day when banks in London and Luxembourg are open and the markets needed to calculate NAV are operating normally. All times are Luxembourg local time.</w:t>
      </w:r>
    </w:p>
    <w:tbl>
      <w:tblPr>
        <w:tblW w:type="auto" w:w="0"/>
        <w:jc w:val="center"/>
        <w:tblLayout w:type="fixed"/>
        <w:tblLook w:firstColumn="1" w:firstRow="1" w:lastColumn="0" w:lastRow="0" w:noHBand="0" w:noVBand="1" w:val="04A0"/>
      </w:tblPr>
      <w:tblGrid>
        <w:gridCol w:w="2948"/>
        <w:gridCol w:w="6690"/>
      </w:tblGrid>
      <w:tr>
        <w:trPr>
          <w:cantSplit/>
          <w:tblHeader/>
        </w:trPr>
        <w:tc>
          <w:tcPr>
            <w:tcW w:type="dxa" w:w="294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Item</w:t>
            </w:r>
          </w:p>
        </w:tc>
        <w:tc>
          <w:tcPr>
            <w:tcW w:type="dxa" w:w="669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Simulated operational term</w:t>
            </w:r>
          </w:p>
        </w:tc>
      </w:tr>
      <w:tr>
        <w:trPr>
          <w:cantSplit/>
        </w:trPr>
        <w:tc>
          <w:tcPr>
            <w:tcW w:type="dxa" w:w="294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Class I subscriptions</w:t>
            </w:r>
          </w:p>
        </w:tc>
        <w:tc>
          <w:tcPr>
            <w:tcW w:type="dxa" w:w="669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Every business Wednesday; if a holiday, the following business day</w:t>
            </w:r>
          </w:p>
        </w:tc>
      </w:tr>
      <w:tr>
        <w:trPr>
          <w:cantSplit/>
        </w:trPr>
        <w:tc>
          <w:tcPr>
            <w:tcW w:type="dxa" w:w="294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Receipt deadline</w:t>
            </w:r>
          </w:p>
        </w:tc>
        <w:tc>
          <w:tcPr>
            <w:tcW w:type="dxa" w:w="669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12:00 noon on the business day preceding the subscription date</w:t>
            </w:r>
          </w:p>
        </w:tc>
      </w:tr>
      <w:tr>
        <w:trPr>
          <w:cantSplit/>
        </w:trPr>
        <w:tc>
          <w:tcPr>
            <w:tcW w:type="dxa" w:w="294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Availability of funds</w:t>
            </w:r>
          </w:p>
        </w:tc>
        <w:tc>
          <w:tcPr>
            <w:tcW w:type="dxa" w:w="669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Cleared funds and complete AML documentation required by the deadline; otherwise the order is deferred</w:t>
            </w:r>
          </w:p>
        </w:tc>
      </w:tr>
      <w:tr>
        <w:trPr>
          <w:cantSplit/>
        </w:trPr>
        <w:tc>
          <w:tcPr>
            <w:tcW w:type="dxa" w:w="294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Subscription price</w:t>
            </w:r>
          </w:p>
        </w:tc>
        <w:tc>
          <w:tcPr>
            <w:tcW w:type="dxa" w:w="669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NAV on the subscription date, determined after the receipt deadline</w:t>
            </w:r>
          </w:p>
        </w:tc>
      </w:tr>
      <w:tr>
        <w:trPr>
          <w:cantSplit/>
        </w:trPr>
        <w:tc>
          <w:tcPr>
            <w:tcW w:type="dxa" w:w="294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Redemptions</w:t>
            </w:r>
          </w:p>
        </w:tc>
        <w:tc>
          <w:tcPr>
            <w:tcW w:type="dxa" w:w="669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Last business day of each month</w:t>
            </w:r>
          </w:p>
        </w:tc>
      </w:tr>
      <w:tr>
        <w:trPr>
          <w:cantSplit/>
        </w:trPr>
        <w:tc>
          <w:tcPr>
            <w:tcW w:type="dxa" w:w="294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Redemption notice</w:t>
            </w:r>
          </w:p>
        </w:tc>
        <w:tc>
          <w:tcPr>
            <w:tcW w:type="dxa" w:w="669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10 business days before the redemption date, by 12:00 noon</w:t>
            </w:r>
          </w:p>
        </w:tc>
      </w:tr>
      <w:tr>
        <w:trPr>
          <w:cantSplit/>
        </w:trPr>
        <w:tc>
          <w:tcPr>
            <w:tcW w:type="dxa" w:w="294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Redemption settlement</w:t>
            </w:r>
          </w:p>
        </w:tc>
        <w:tc>
          <w:tcPr>
            <w:tcW w:type="dxa" w:w="669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Normally within five business days of the redemption date</w:t>
            </w:r>
          </w:p>
        </w:tc>
      </w:tr>
      <w:tr>
        <w:trPr>
          <w:cantSplit/>
        </w:trPr>
        <w:tc>
          <w:tcPr>
            <w:tcW w:type="dxa" w:w="294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Lock up</w:t>
            </w:r>
          </w:p>
        </w:tc>
        <w:tc>
          <w:tcPr>
            <w:tcW w:type="dxa" w:w="669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No contractual initial lock-up period</w:t>
            </w:r>
          </w:p>
        </w:tc>
      </w:tr>
      <w:tr>
        <w:trPr>
          <w:cantSplit/>
        </w:trPr>
        <w:tc>
          <w:tcPr>
            <w:tcW w:type="dxa" w:w="294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Fund gate</w:t>
            </w:r>
          </w:p>
        </w:tc>
        <w:tc>
          <w:tcPr>
            <w:tcW w:type="dxa" w:w="669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Maximum 10% of outstanding shares redeemed on each monthly dealing date</w:t>
            </w:r>
          </w:p>
        </w:tc>
      </w:tr>
      <w:tr>
        <w:trPr>
          <w:cantSplit/>
        </w:trPr>
        <w:tc>
          <w:tcPr>
            <w:tcW w:type="dxa" w:w="294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Excess requests</w:t>
            </w:r>
          </w:p>
        </w:tc>
        <w:tc>
          <w:tcPr>
            <w:tcW w:type="dxa" w:w="669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Executed pro rata; balances carried to the next month without priority</w:t>
            </w:r>
          </w:p>
        </w:tc>
      </w:tr>
      <w:tr>
        <w:trPr>
          <w:cantSplit/>
        </w:trPr>
        <w:tc>
          <w:tcPr>
            <w:tcW w:type="dxa" w:w="294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Redemptions in kind</w:t>
            </w:r>
          </w:p>
        </w:tc>
        <w:tc>
          <w:tcPr>
            <w:tcW w:type="dxa" w:w="669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Excluded from the scenario</w:t>
            </w:r>
          </w:p>
        </w:tc>
      </w:tr>
      <w:tr>
        <w:trPr>
          <w:cantSplit/>
        </w:trPr>
        <w:tc>
          <w:tcPr>
            <w:tcW w:type="dxa" w:w="294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Share transfers</w:t>
            </w:r>
          </w:p>
        </w:tc>
        <w:tc>
          <w:tcPr>
            <w:tcW w:type="dxa" w:w="669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Subject to eligibility and AML checks on the new holder</w:t>
            </w:r>
          </w:p>
        </w:tc>
      </w:tr>
    </w:tbl>
    <w:p>
      <w:pPr>
        <w:spacing w:after="0"/>
      </w:pPr>
    </w:p>
    <w:p>
      <w:pPr>
        <w:pStyle w:val="Heading2"/>
      </w:pPr>
      <w:r>
        <w:t>Suspensions and investor protection</w:t>
      </w:r>
    </w:p>
    <w:p>
      <w:r>
        <w:rPr>
          <w:b w:val="0"/>
        </w:rPr>
        <w:t>The board may suspend NAV calculation and dealing if a material part of the portfolio cannot be valued, relevant markets close, a serious cyber incident occurs or payments become unavailable. The manager informs investors within one business day of the decision, explains the reason and updates the communication at least weekly. No maximum duration is predetermined.</w:t>
      </w:r>
    </w:p>
    <w:p>
      <w:r>
        <w:rPr>
          <w:b w:val="0"/>
        </w:rPr>
        <w:t>The gate does not guarantee liquidity by a particular date: repeated large requests may defer a redemption for several months. No arrangements give individual investors preferential liquidity. The scenario assumes that no suspension or gate has been applied between inception and 30 September 2026.</w:t>
      </w:r>
    </w:p>
    <w:p>
      <w:pPr>
        <w:pStyle w:val="Heading2"/>
      </w:pPr>
      <w:r>
        <w:t>Anti dilution adjustment</w:t>
      </w:r>
    </w:p>
    <w:p>
      <w:r>
        <w:rPr>
          <w:b w:val="0"/>
        </w:rPr>
        <w:t>When the net flow on a dealing date exceeds 3% of NAV, the administrator may apply a price adjustment of up to 0.50%, based on expected costs and approved by the Valuation Committee. The benefit remains in the fund. It is neither revenue for the manager nor an ordinary entry or exit fee. The adjustment applied and its rationale are recorded.</w:t>
      </w:r>
    </w:p>
    <w:p>
      <w:r>
        <w:rPr>
          <w:b w:val="0"/>
          <w:sz w:val="18"/>
        </w:rPr>
        <w:t>Orders received after the deadline are carried to the first eligible date. The manager cannot unilaterally waive the deadline in favour of an investor. Conversions between classes are not offered in the scenario.</w:t>
      </w:r>
    </w:p>
    <w:p>
      <w:r>
        <w:br w:type="page"/>
      </w:r>
    </w:p>
    <w:p>
      <w:pPr>
        <w:pStyle w:val="Heading1"/>
      </w:pPr>
      <w:r>
        <w:t>13  Service providers valuation and NAV</w:t>
      </w:r>
    </w:p>
    <w:p>
      <w:r>
        <w:rPr>
          <w:b w:val="0"/>
          <w:sz w:val="18"/>
        </w:rPr>
        <w:t>DDQ reference  S13  |  Scenario owner  COO and Administrator</w:t>
      </w:r>
    </w:p>
    <w:p>
      <w:r>
        <w:rPr>
          <w:b w:val="0"/>
        </w:rPr>
        <w:t>All service providers in the table are fictional entities. Their mandates describe the case’s operating model; they do not attest to actual contracts, licences, certifications or services provided to Alken.</w:t>
      </w:r>
    </w:p>
    <w:tbl>
      <w:tblPr>
        <w:tblW w:type="auto" w:w="0"/>
        <w:jc w:val="center"/>
        <w:tblLayout w:type="fixed"/>
        <w:tblLook w:firstColumn="1" w:firstRow="1" w:lastColumn="0" w:lastRow="0" w:noHBand="0" w:noVBand="1" w:val="04A0"/>
      </w:tblPr>
      <w:tblGrid>
        <w:gridCol w:w="3288"/>
        <w:gridCol w:w="3061"/>
        <w:gridCol w:w="3288"/>
      </w:tblGrid>
      <w:tr>
        <w:trPr>
          <w:cantSplit/>
          <w:tblHeader/>
        </w:trPr>
        <w:tc>
          <w:tcPr>
            <w:tcW w:type="dxa" w:w="328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Fictional provider</w:t>
            </w:r>
          </w:p>
        </w:tc>
        <w:tc>
          <w:tcPr>
            <w:tcW w:type="dxa" w:w="306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Mandate</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Segregation of duties</w:t>
            </w:r>
          </w:p>
        </w:tc>
      </w:tr>
      <w:tr>
        <w:trPr>
          <w:cantSplit/>
        </w:trPr>
        <w:tc>
          <w:tcPr>
            <w:tcW w:type="dxa" w:w="328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Meridian Fund Management S.A.</w:t>
            </w:r>
          </w:p>
        </w:tc>
        <w:tc>
          <w:tcPr>
            <w:tcW w:type="dxa" w:w="306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Vehicle management and oversight of delegates</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Monitors the delegated investment manager and reports to the board</w:t>
            </w:r>
          </w:p>
        </w:tc>
      </w:tr>
      <w:tr>
        <w:trPr>
          <w:cantSplit/>
        </w:trPr>
        <w:tc>
          <w:tcPr>
            <w:tcW w:type="dxa" w:w="328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Northbridge Fund Administration S.A.</w:t>
            </w:r>
          </w:p>
        </w:tc>
        <w:tc>
          <w:tcPr>
            <w:tcW w:type="dxa" w:w="306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NAV calculation, accounting and transfer agency</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Calculates prices and shares independently of the portfolio manager</w:t>
            </w:r>
          </w:p>
        </w:tc>
      </w:tr>
      <w:tr>
        <w:trPr>
          <w:cantSplit/>
        </w:trPr>
        <w:tc>
          <w:tcPr>
            <w:tcW w:type="dxa" w:w="328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Lumen Depositary Bank</w:t>
            </w:r>
          </w:p>
        </w:tc>
        <w:tc>
          <w:tcPr>
            <w:tcW w:type="dxa" w:w="306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Custody, depositary and operational banking</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Reconciles assets and verifies cash flows under the scenario mandate</w:t>
            </w:r>
          </w:p>
        </w:tc>
      </w:tr>
      <w:tr>
        <w:trPr>
          <w:cantSplit/>
        </w:trPr>
        <w:tc>
          <w:tcPr>
            <w:tcW w:type="dxa" w:w="328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Veridian Audit Luxembourg</w:t>
            </w:r>
          </w:p>
        </w:tc>
        <w:tc>
          <w:tcPr>
            <w:tcW w:type="dxa" w:w="306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Audit of vehicle financial statements</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Reports findings to the board; no actual audit opinion attached</w:t>
            </w:r>
          </w:p>
        </w:tc>
      </w:tr>
      <w:tr>
        <w:trPr>
          <w:cantSplit/>
        </w:trPr>
        <w:tc>
          <w:tcPr>
            <w:tcW w:type="dxa" w:w="328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Cobalt Clearing Europe</w:t>
            </w:r>
          </w:p>
        </w:tc>
        <w:tc>
          <w:tcPr>
            <w:tcW w:type="dxa" w:w="306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Index futures clearing</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Manages exchange margins and settlements</w:t>
            </w:r>
          </w:p>
        </w:tc>
      </w:tr>
      <w:tr>
        <w:trPr>
          <w:cantSplit/>
        </w:trPr>
        <w:tc>
          <w:tcPr>
            <w:tcW w:type="dxa" w:w="328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Aster Prime Securities and Boreal Prime Markets</w:t>
            </w:r>
          </w:p>
        </w:tc>
        <w:tc>
          <w:tcPr>
            <w:tcW w:type="dxa" w:w="306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Prime brokerage and stock borrowing</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Provide stock borrows and separate counterparty statements</w:t>
            </w:r>
          </w:p>
        </w:tc>
      </w:tr>
      <w:tr>
        <w:trPr>
          <w:cantSplit/>
        </w:trPr>
        <w:tc>
          <w:tcPr>
            <w:tcW w:type="dxa" w:w="328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Silvergate Legal Partners</w:t>
            </w:r>
          </w:p>
        </w:tc>
        <w:tc>
          <w:tcPr>
            <w:tcW w:type="dxa" w:w="306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Advice on fund documentation</w:t>
            </w:r>
          </w:p>
        </w:tc>
        <w:tc>
          <w:tcPr>
            <w:tcW w:type="dxa" w:w="328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Advises the board; no actual legal opinion issued</w:t>
            </w:r>
          </w:p>
        </w:tc>
      </w:tr>
    </w:tbl>
    <w:p>
      <w:pPr>
        <w:spacing w:after="0"/>
      </w:pPr>
    </w:p>
    <w:p>
      <w:pPr>
        <w:pStyle w:val="Heading2"/>
      </w:pPr>
      <w:r>
        <w:t>Valuation policy</w:t>
      </w:r>
    </w:p>
    <w:p>
      <w:r>
        <w:rPr>
          <w:b w:val="0"/>
        </w:rPr>
        <w:t>NAV is calculated in euros on each business day using primary market closing prices. Listed equities use the official closing price and futures use the exchange settlement price. Currency forwards are valued by an independent source using current curves and exchange rates. Currency translation uses an independent 16:00 London fixing, with documented exceptions where necessary.</w:t>
      </w:r>
    </w:p>
    <w:p>
      <w:r>
        <w:rPr>
          <w:b w:val="0"/>
        </w:rPr>
        <w:t>A price unchanged for two sessions, a daily movement exceeding 15% or a difference of more than 2% between sources triggers investigation. If no reliable price is available, the Valuation Committee approves a documented fair value. The manager may provide analysis but cannot unilaterally replace a price. All securities in the reference portfolio have quoted prices; no manual fair values are assumed.</w:t>
      </w:r>
    </w:p>
    <w:p>
      <w:pPr>
        <w:pStyle w:val="Heading2"/>
      </w:pPr>
      <w:r>
        <w:t>Errors and financial statements</w:t>
      </w:r>
    </w:p>
    <w:p>
      <w:r>
        <w:rPr>
          <w:b w:val="0"/>
        </w:rPr>
        <w:t>Every NAV error is recorded, assessed and corrected. A difference equal to or greater than 0.25% of class NAV is an internal threshold for board escalation; it is not a regulatory threshold and does not rule out remedies below that level. The committee assesses the impact on all investors and any compensation required.</w:t>
      </w:r>
    </w:p>
    <w:p>
      <w:r>
        <w:rPr>
          <w:b w:val="0"/>
          <w:sz w:val="18"/>
        </w:rPr>
        <w:t>The scenario provides for audited annual financial statements within four months of year end and a half-year report within two months. The case assumes the 2025 process was completed on 24 April 2026, but includes neither financial statements nor an audit opinion: an “unqualified” opinion cannot be attributed to the fictional auditor.</w:t>
      </w:r>
    </w:p>
    <w:p>
      <w:r>
        <w:br w:type="page"/>
      </w:r>
    </w:p>
    <w:p>
      <w:pPr>
        <w:pStyle w:val="Heading1"/>
      </w:pPr>
      <w:r>
        <w:t>14  Operations and controls</w:t>
      </w:r>
    </w:p>
    <w:p>
      <w:r>
        <w:rPr>
          <w:b w:val="0"/>
          <w:sz w:val="18"/>
        </w:rPr>
        <w:t>DDQ reference  S14  |  Scenario owner  Chief Operating Officer</w:t>
      </w:r>
    </w:p>
    <w:p>
      <w:pPr>
        <w:pStyle w:val="Heading2"/>
      </w:pPr>
      <w:r>
        <w:t>Trade lifecycle</w:t>
      </w:r>
    </w:p>
    <w:p>
      <w:r>
        <w:rPr>
          <w:b w:val="0"/>
        </w:rPr>
        <w:t>Orders are created by the portfolio manager in the order management system and pass risk and compliance checks before reaching a trader. Executions are matched against broker confirmations on the same day. Operations reconciles positions, cash, derivatives and collateral daily with the administrator, depositary and prime brokers.</w:t>
      </w:r>
    </w:p>
    <w:tbl>
      <w:tblPr>
        <w:tblW w:type="auto" w:w="0"/>
        <w:jc w:val="center"/>
        <w:tblLayout w:type="fixed"/>
        <w:tblLook w:firstColumn="1" w:firstRow="1" w:lastColumn="0" w:lastRow="0" w:noHBand="0" w:noVBand="1" w:val="04A0"/>
      </w:tblPr>
      <w:tblGrid>
        <w:gridCol w:w="2891"/>
        <w:gridCol w:w="2438"/>
        <w:gridCol w:w="4309"/>
      </w:tblGrid>
      <w:tr>
        <w:trPr>
          <w:cantSplit/>
          <w:tblHeader/>
        </w:trPr>
        <w:tc>
          <w:tcPr>
            <w:tcW w:type="dxa" w:w="289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Control</w:t>
            </w:r>
          </w:p>
        </w:tc>
        <w:tc>
          <w:tcPr>
            <w:tcW w:type="dxa" w:w="243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Frequency</w:t>
            </w:r>
          </w:p>
        </w:tc>
        <w:tc>
          <w:tcPr>
            <w:tcW w:type="dxa" w:w="430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Owner and exception handling</w:t>
            </w:r>
          </w:p>
        </w:tc>
      </w:tr>
      <w:tr>
        <w:trPr>
          <w:cantSplit/>
        </w:trPr>
        <w:tc>
          <w:tcPr>
            <w:tcW w:type="dxa" w:w="289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Confirmations and allocations</w:t>
            </w:r>
          </w:p>
        </w:tc>
        <w:tc>
          <w:tcPr>
            <w:tcW w:type="dxa" w:w="243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Daily</w:t>
            </w:r>
          </w:p>
        </w:tc>
        <w:tc>
          <w:tcPr>
            <w:tcW w:type="dxa" w:w="430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Operations checks quantities, prices, funds and counterparties; exceptions addressed by T+1</w:t>
            </w:r>
          </w:p>
        </w:tc>
      </w:tr>
      <w:tr>
        <w:trPr>
          <w:cantSplit/>
        </w:trPr>
        <w:tc>
          <w:tcPr>
            <w:tcW w:type="dxa" w:w="289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Positions and cash balances</w:t>
            </w:r>
          </w:p>
        </w:tc>
        <w:tc>
          <w:tcPr>
            <w:tcW w:type="dxa" w:w="243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Daily</w:t>
            </w:r>
          </w:p>
        </w:tc>
        <w:tc>
          <w:tcPr>
            <w:tcW w:type="dxa" w:w="430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Operations reconciles; material breaks escalated to the COO the same day</w:t>
            </w:r>
          </w:p>
        </w:tc>
      </w:tr>
      <w:tr>
        <w:trPr>
          <w:cantSplit/>
        </w:trPr>
        <w:tc>
          <w:tcPr>
            <w:tcW w:type="dxa" w:w="289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Margins and stock borrowing</w:t>
            </w:r>
          </w:p>
        </w:tc>
        <w:tc>
          <w:tcPr>
            <w:tcW w:type="dxa" w:w="243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Daily and intraday on request</w:t>
            </w:r>
          </w:p>
        </w:tc>
        <w:tc>
          <w:tcPr>
            <w:tcW w:type="dxa" w:w="430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Treasury checks calls and coverage; CRO assesses concentration</w:t>
            </w:r>
          </w:p>
        </w:tc>
      </w:tr>
      <w:tr>
        <w:trPr>
          <w:cantSplit/>
        </w:trPr>
        <w:tc>
          <w:tcPr>
            <w:tcW w:type="dxa" w:w="289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Payments and beneficiaries</w:t>
            </w:r>
          </w:p>
        </w:tc>
        <w:tc>
          <w:tcPr>
            <w:tcW w:type="dxa" w:w="243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Per transaction</w:t>
            </w:r>
          </w:p>
        </w:tc>
        <w:tc>
          <w:tcPr>
            <w:tcW w:type="dxa" w:w="430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Two separate authorisers; new bank details verified through a separate channel</w:t>
            </w:r>
          </w:p>
        </w:tc>
      </w:tr>
      <w:tr>
        <w:trPr>
          <w:cantSplit/>
        </w:trPr>
        <w:tc>
          <w:tcPr>
            <w:tcW w:type="dxa" w:w="289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Access to critical systems</w:t>
            </w:r>
          </w:p>
        </w:tc>
        <w:tc>
          <w:tcPr>
            <w:tcW w:type="dxa" w:w="243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Quarterly and at every departure</w:t>
            </w:r>
          </w:p>
        </w:tc>
        <w:tc>
          <w:tcPr>
            <w:tcW w:type="dxa" w:w="430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IT and function heads validate privileges and active accounts</w:t>
            </w:r>
          </w:p>
        </w:tc>
      </w:tr>
      <w:tr>
        <w:trPr>
          <w:cantSplit/>
        </w:trPr>
        <w:tc>
          <w:tcPr>
            <w:tcW w:type="dxa" w:w="289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Best execution</w:t>
            </w:r>
          </w:p>
        </w:tc>
        <w:tc>
          <w:tcPr>
            <w:tcW w:type="dxa" w:w="243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Monthly; quarterly review</w:t>
            </w:r>
          </w:p>
        </w:tc>
        <w:tc>
          <w:tcPr>
            <w:tcW w:type="dxa" w:w="430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Trading compares costs and quality by broker and order type</w:t>
            </w:r>
          </w:p>
        </w:tc>
      </w:tr>
      <w:tr>
        <w:trPr>
          <w:cantSplit/>
        </w:trPr>
        <w:tc>
          <w:tcPr>
            <w:tcW w:type="dxa" w:w="289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Critical service providers</w:t>
            </w:r>
          </w:p>
        </w:tc>
        <w:tc>
          <w:tcPr>
            <w:tcW w:type="dxa" w:w="243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Annually; quarterly KPIs</w:t>
            </w:r>
          </w:p>
        </w:tc>
        <w:tc>
          <w:tcPr>
            <w:tcW w:type="dxa" w:w="430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COO assesses capacity, controls, continuity and exit plans</w:t>
            </w:r>
          </w:p>
        </w:tc>
      </w:tr>
    </w:tbl>
    <w:p>
      <w:pPr>
        <w:spacing w:after="0"/>
      </w:pPr>
    </w:p>
    <w:p>
      <w:pPr>
        <w:pStyle w:val="Heading2"/>
      </w:pPr>
      <w:r>
        <w:t>Cash transfers and fraud</w:t>
      </w:r>
    </w:p>
    <w:p>
      <w:r>
        <w:rPr>
          <w:b w:val="0"/>
        </w:rPr>
        <w:t>The person entering a payment cannot approve it. Investor instructions cannot be changed on the basis of a single email; the transfer agent requires confirmation through previously registered contacts and retains evidence of the check. New beneficiaries and changes to bank details are subject to a one-business-day control period before activation.</w:t>
      </w:r>
    </w:p>
    <w:p>
      <w:r>
        <w:rPr>
          <w:b w:val="0"/>
        </w:rPr>
        <w:t>Subscription payments are accepted only from accounts attributable to the approved investor. Third-party payments and urgent requests to bypass the process are held for review. Bank reconciliation is separate from payment authorisation.</w:t>
      </w:r>
    </w:p>
    <w:p>
      <w:pPr>
        <w:pStyle w:val="Heading2"/>
      </w:pPr>
      <w:r>
        <w:t>Incidents and oversight of delegates</w:t>
      </w:r>
    </w:p>
    <w:p>
      <w:r>
        <w:rPr>
          <w:b w:val="0"/>
        </w:rPr>
        <w:t>The simulated register for 2025–September 2026 contains one EUR 18,000 allocation error, detected on 17 June 2026 and corrected that day at the manager’s expense; no loss is attributed to the fund. The case assumes no other material operational incidents. Internal materiality considers financial impact, clients affected and service disruption, rather than amount alone.</w:t>
      </w:r>
    </w:p>
    <w:p>
      <w:r>
        <w:rPr>
          <w:b w:val="0"/>
        </w:rPr>
        <w:t>Service providers have KPIs for timely NAV delivery, reconciliations and availability. Two consecutive missed NAV deliveries trigger an extraordinary review. The exit plan provides for daily export of essential data and transfer of documentation to a replacement provider. Provider certifications and control reports are neither attached nor assumed.</w:t>
      </w:r>
    </w:p>
    <w:p>
      <w:r>
        <w:br w:type="page"/>
      </w:r>
    </w:p>
    <w:p>
      <w:pPr>
        <w:pStyle w:val="Heading1"/>
      </w:pPr>
      <w:r>
        <w:t>15  Compliance and data protection</w:t>
      </w:r>
    </w:p>
    <w:p>
      <w:r>
        <w:rPr>
          <w:b w:val="0"/>
          <w:sz w:val="18"/>
        </w:rPr>
        <w:t>DDQ reference  S15  |  Scenario owner  Chief Compliance Officer</w:t>
      </w:r>
    </w:p>
    <w:p>
      <w:r>
        <w:rPr>
          <w:b w:val="0"/>
        </w:rPr>
        <w:t>This section defines fictional policies for the case without certifying compliance with any law or any Alken authorisations. Questions about marketing, taxation and a specific investor’s regulatory obligations require an assessment outside this memorandum.</w:t>
      </w:r>
    </w:p>
    <w:p>
      <w:pPr>
        <w:pStyle w:val="Heading2"/>
      </w:pPr>
      <w:r>
        <w:t>Anti money laundering and investor admission</w:t>
      </w:r>
    </w:p>
    <w:p>
      <w:r>
        <w:rPr>
          <w:b w:val="0"/>
        </w:rPr>
        <w:t>Before admission, the transfer agent verifies identity, beneficial ownership, source of funds and control structure. Checks include sanctions lists and politically exposed persons. High-risk cases require two approvals, including the AML officer’s, and enhanced documentation. List screening is daily; full reviews take place annually for high-risk cases and every three years for standard-risk cases, as well as following relevant events.</w:t>
      </w:r>
    </w:p>
    <w:p>
      <w:r>
        <w:rPr>
          <w:b w:val="0"/>
        </w:rPr>
        <w:t>No shares are issued while essential documentation is incomplete. The redemption account holder must match the registered investor, except for documented exceptions approved by compliance. Distributor representations do not replace these checks.</w:t>
      </w:r>
    </w:p>
    <w:p>
      <w:pPr>
        <w:pStyle w:val="Heading2"/>
      </w:pPr>
      <w:r>
        <w:t>Market conduct and communications</w:t>
      </w:r>
    </w:p>
    <w:p>
      <w:r>
        <w:rPr>
          <w:b w:val="0"/>
        </w:rPr>
        <w:t>Compliance maintains restricted and watch lists, approves contact with external experts and trains staff on inside information risks. Order-related calls take place on authorised channels and are recorded where internal policy requires. Communications on performance, fees, sustainability and disputes require compliance approval before distribution within the scenario.</w:t>
      </w:r>
    </w:p>
    <w:p>
      <w:r>
        <w:rPr>
          <w:b w:val="0"/>
        </w:rPr>
        <w:t>A monthly committee reviews conflicts, personal transactions and complaints. The scenario register includes one administrative complaint received on 12 February 2026 concerning a delayed statement, resolved on 19 February without compensation. No pending litigation or regulatory investigation concerning the fund is assumed at the reference date: this is an invented premise, not an attestation about Alken or any real person.</w:t>
      </w:r>
    </w:p>
    <w:p>
      <w:pPr>
        <w:pStyle w:val="Heading2"/>
      </w:pPr>
      <w:r>
        <w:t>Personal data and retention</w:t>
      </w:r>
    </w:p>
    <w:p>
      <w:r>
        <w:rPr>
          <w:b w:val="0"/>
        </w:rPr>
        <w:t>The vehicle is the data controller in the scenario, and the administrator performs the processor functions set out in the fictional contract. Investor identification data are separated from research material. Access is role based, logged and revoked within four hours of employment ending.</w:t>
      </w:r>
    </w:p>
    <w:p>
      <w:r>
        <w:rPr>
          <w:b w:val="0"/>
        </w:rPr>
        <w:t>Internal policy retains DDQ documentation, approvals, transactions and AML records for seven years after the relationship ends or the relevant transaction; specific requirements and litigation holds take precedence. This period is a scenario policy choice, not a statement of legal obligations. At expiry, verified deletion or anonymisation is applied.</w:t>
      </w:r>
    </w:p>
    <w:p>
      <w:pPr>
        <w:pStyle w:val="Heading2"/>
      </w:pPr>
      <w:r>
        <w:t>Use of artificial intelligence tools</w:t>
      </w:r>
    </w:p>
    <w:p>
      <w:r>
        <w:rPr>
          <w:b w:val="0"/>
        </w:rPr>
        <w:t>The project simulates AI use for document research and draft preparation. Investors’ personal information is excluded from the ordinary DDQ archive. Production deployment would require an approved provider and specific contractual terms; this memorandum does not attest to an AI contract, actual data location or provider guarantees. Response approvals remain recorded with the approver’s name, date and source version.</w:t>
      </w:r>
    </w:p>
    <w:p>
      <w:r>
        <w:br w:type="page"/>
      </w:r>
    </w:p>
    <w:p>
      <w:pPr>
        <w:pStyle w:val="Heading1"/>
      </w:pPr>
      <w:r>
        <w:t>16  Sustainability and stewardship</w:t>
      </w:r>
    </w:p>
    <w:p>
      <w:r>
        <w:rPr>
          <w:b w:val="0"/>
          <w:sz w:val="18"/>
        </w:rPr>
        <w:t>DDQ reference  S16  |  Scenario owner  Head of Research and Compliance</w:t>
      </w:r>
    </w:p>
    <w:p>
      <w:r>
        <w:rPr>
          <w:b w:val="0"/>
        </w:rPr>
        <w:t>Aurora integrates environmental, social and governance factors into its assessment of economic risks and business quality. It has no sustainable investment objective, is not presented as an impact fund and assumes no SFDR classification, label or taxonomy alignment. The absence of those classifications in this case implies no judgement about any manager’s actual product.</w:t>
      </w:r>
    </w:p>
    <w:p>
      <w:pPr>
        <w:pStyle w:val="Heading2"/>
      </w:pPr>
      <w:r>
        <w:t>Strategy exclusions</w:t>
      </w:r>
    </w:p>
    <w:p>
      <w:r>
        <w:rPr>
          <w:b w:val="0"/>
        </w:rPr>
        <w:t>The simulated policy excludes from long investments issuers directly involved in producing controversial weapons and those deriving more than 10% of revenue from thermal coal extraction. Thresholds apply to the latest available consolidated revenues and are reviewed quarterly. Excluded issuers cannot be held as direct shorts either, to avoid inconsistent treatment. Index hedges may create indirect exposures that are not screened.</w:t>
      </w:r>
    </w:p>
    <w:p>
      <w:pPr>
        <w:pStyle w:val="Heading2"/>
      </w:pPr>
      <w:r>
        <w:t>Analysis and controversies</w:t>
      </w:r>
    </w:p>
    <w:p>
      <w:r>
        <w:rPr>
          <w:b w:val="0"/>
        </w:rPr>
        <w:t>Each investment note assesses governance, capital allocation, reporting quality, labour relations and environmental risks material to the sector. Internal ratings range from 1, low risk, to 5, high risk. A rating of 5 prevents new long positions pending a committee decision; existing risks require a documented plan and discussion with compliance.</w:t>
      </w:r>
    </w:p>
    <w:tbl>
      <w:tblPr>
        <w:tblW w:type="auto" w:w="0"/>
        <w:jc w:val="center"/>
        <w:tblLayout w:type="fixed"/>
        <w:tblLook w:firstColumn="1" w:firstRow="1" w:lastColumn="0" w:lastRow="0" w:noHBand="0" w:noVBand="1" w:val="04A0"/>
      </w:tblPr>
      <w:tblGrid>
        <w:gridCol w:w="3969"/>
        <w:gridCol w:w="2098"/>
        <w:gridCol w:w="3572"/>
      </w:tblGrid>
      <w:tr>
        <w:trPr>
          <w:cantSplit/>
          <w:tblHeader/>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Indicator at 30 September 2026</w:t>
            </w:r>
          </w:p>
        </w:tc>
        <w:tc>
          <w:tcPr>
            <w:tcW w:type="dxa" w:w="209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Invented value</w:t>
            </w:r>
          </w:p>
        </w:tc>
        <w:tc>
          <w:tcPr>
            <w:tcW w:type="dxa" w:w="357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Scope</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Long companies with an internal rating</w:t>
            </w:r>
          </w:p>
        </w:tc>
        <w:tc>
          <w:tcPr>
            <w:tcW w:type="dxa" w:w="209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32 out of 32</w:t>
            </w:r>
          </w:p>
        </w:tc>
        <w:tc>
          <w:tcPr>
            <w:tcW w:type="dxa" w:w="357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Entire long portfolio</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Scope 1 and 2 emissions data coverage</w:t>
            </w:r>
          </w:p>
        </w:tc>
        <w:tc>
          <w:tcPr>
            <w:tcW w:type="dxa" w:w="209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90%</w:t>
            </w:r>
          </w:p>
        </w:tc>
        <w:tc>
          <w:tcPr>
            <w:tcW w:type="dxa" w:w="357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Weight of the long portfolio, normalised to 100%</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Weighted average carbon intensity</w:t>
            </w:r>
          </w:p>
        </w:tc>
        <w:tc>
          <w:tcPr>
            <w:tcW w:type="dxa" w:w="209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112 tCO2e per EUR million of revenue</w:t>
            </w:r>
          </w:p>
        </w:tc>
        <w:tc>
          <w:tcPr>
            <w:tcW w:type="dxa" w:w="357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Covered issuers only, with weights renormalised; not a total footprint</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Open engagements</w:t>
            </w:r>
          </w:p>
        </w:tc>
        <w:tc>
          <w:tcPr>
            <w:tcW w:type="dxa" w:w="209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7 companies</w:t>
            </w:r>
          </w:p>
        </w:tc>
        <w:tc>
          <w:tcPr>
            <w:tcW w:type="dxa" w:w="357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Count of long issuers, not meetings</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Shareholder meetings voted at in 2026</w:t>
            </w:r>
          </w:p>
        </w:tc>
        <w:tc>
          <w:tcPr>
            <w:tcW w:type="dxa" w:w="209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18 out of 18 eligible</w:t>
            </w:r>
          </w:p>
        </w:tc>
        <w:tc>
          <w:tcPr>
            <w:tcW w:type="dxa" w:w="357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January–September; available voting rights only</w:t>
            </w:r>
          </w:p>
        </w:tc>
      </w:tr>
      <w:tr>
        <w:trPr>
          <w:cantSplit/>
        </w:trPr>
        <w:tc>
          <w:tcPr>
            <w:tcW w:type="dxa" w:w="396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Highest-severity controversies</w:t>
            </w:r>
          </w:p>
        </w:tc>
        <w:tc>
          <w:tcPr>
            <w:tcW w:type="dxa" w:w="209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0 long positions in the scenario</w:t>
            </w:r>
          </w:p>
        </w:tc>
        <w:tc>
          <w:tcPr>
            <w:tcW w:type="dxa" w:w="357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Internal classification; not external certification</w:t>
            </w:r>
          </w:p>
        </w:tc>
      </w:tr>
    </w:tbl>
    <w:p>
      <w:pPr>
        <w:spacing w:after="0"/>
      </w:pPr>
    </w:p>
    <w:p>
      <w:r>
        <w:rPr>
          <w:b w:val="0"/>
        </w:rPr>
        <w:t>The carbon metric does not offset long and short positions and excludes derivatives and Scope 3. The 90% coverage does not justify automatically estimating the remaining 10%. Figures are synthetic and do not come from an ESG provider. The scope definition must accompany any reuse of the metric.</w:t>
      </w:r>
    </w:p>
    <w:p>
      <w:pPr>
        <w:pStyle w:val="Heading2"/>
      </w:pPr>
      <w:r>
        <w:t>Voting and company engagement</w:t>
      </w:r>
    </w:p>
    <w:p>
      <w:r>
        <w:rPr>
          <w:b w:val="0"/>
        </w:rPr>
        <w:t>The team favours informed voting, dialogue with management and verifiable objectives. An engagement with no progress after twelve months is reviewed to consider stronger engagement, voting against management or reducing the holding. These decisions do not guarantee environmental or social outcomes. Potential voting conflicts are assessed by compliance and, in material cases, by the board.</w:t>
      </w:r>
    </w:p>
    <w:p>
      <w:r>
        <w:rPr>
          <w:b w:val="0"/>
          <w:sz w:val="18"/>
        </w:rPr>
        <w:t>The fund’s proportion of sustainable investments, ESG certifications, alignment with climate scenarios and net zero commitments are not available. These must not be inferred from the processes described.</w:t>
      </w:r>
    </w:p>
    <w:p>
      <w:r>
        <w:br w:type="page"/>
      </w:r>
    </w:p>
    <w:p>
      <w:pPr>
        <w:pStyle w:val="Heading1"/>
      </w:pPr>
      <w:r>
        <w:t>17  Security and business continuity</w:t>
      </w:r>
    </w:p>
    <w:p>
      <w:r>
        <w:rPr>
          <w:b w:val="0"/>
          <w:sz w:val="18"/>
        </w:rPr>
        <w:t>DDQ reference  S17  |  Scenario owner  COO and Head of IT</w:t>
      </w:r>
    </w:p>
    <w:p>
      <w:r>
        <w:rPr>
          <w:b w:val="0"/>
        </w:rPr>
        <w:t>The technology model uses managed applications for orders, accounting and documents, with named user accounts and segregation by function. The controls reported are invented features of the case and do not describe Alken’s actual infrastructure.</w:t>
      </w:r>
    </w:p>
    <w:tbl>
      <w:tblPr>
        <w:tblW w:type="auto" w:w="0"/>
        <w:jc w:val="center"/>
        <w:tblLayout w:type="fixed"/>
        <w:tblLook w:firstColumn="1" w:firstRow="1" w:lastColumn="0" w:lastRow="0" w:noHBand="0" w:noVBand="1" w:val="04A0"/>
      </w:tblPr>
      <w:tblGrid>
        <w:gridCol w:w="1928"/>
        <w:gridCol w:w="5046"/>
        <w:gridCol w:w="2665"/>
      </w:tblGrid>
      <w:tr>
        <w:trPr>
          <w:cantSplit/>
          <w:tblHeader/>
        </w:trPr>
        <w:tc>
          <w:tcPr>
            <w:tcW w:type="dxa" w:w="19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Area</w:t>
            </w:r>
          </w:p>
        </w:tc>
        <w:tc>
          <w:tcPr>
            <w:tcW w:type="dxa" w:w="504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Planned control</w:t>
            </w:r>
          </w:p>
        </w:tc>
        <w:tc>
          <w:tcPr>
            <w:tcW w:type="dxa" w:w="266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Frequency or measure</w:t>
            </w:r>
          </w:p>
        </w:tc>
      </w:tr>
      <w:tr>
        <w:trPr>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Identity</w:t>
            </w:r>
          </w:p>
        </w:tc>
        <w:tc>
          <w:tcPr>
            <w:tcW w:type="dxa" w:w="504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Multi-factor authentication for remote and privileged access</w:t>
            </w:r>
          </w:p>
        </w:tc>
        <w:tc>
          <w:tcPr>
            <w:tcW w:type="dxa" w:w="266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Quarterly access review; revocation within four hours of departures</w:t>
            </w:r>
          </w:p>
        </w:tc>
      </w:tr>
      <w:tr>
        <w:trPr>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Data</w:t>
            </w:r>
          </w:p>
        </w:tc>
        <w:tc>
          <w:tcPr>
            <w:tcW w:type="dxa" w:w="504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Encryption in transit and at rest; separate investor archives</w:t>
            </w:r>
          </w:p>
        </w:tc>
        <w:tc>
          <w:tcPr>
            <w:tcW w:type="dxa" w:w="266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Least-privilege access and centralised logs</w:t>
            </w:r>
          </w:p>
        </w:tc>
      </w:tr>
      <w:tr>
        <w:trPr>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Endpoints</w:t>
            </w:r>
          </w:p>
        </w:tc>
        <w:tc>
          <w:tcPr>
            <w:tcW w:type="dxa" w:w="504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Managed protection and blocking of unauthorised installations</w:t>
            </w:r>
          </w:p>
        </w:tc>
        <w:tc>
          <w:tcPr>
            <w:tcW w:type="dxa" w:w="266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Continuous monitoring; critical updates within 14 days</w:t>
            </w:r>
          </w:p>
        </w:tc>
      </w:tr>
      <w:tr>
        <w:trPr>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Backups</w:t>
            </w:r>
          </w:p>
        </w:tc>
        <w:tc>
          <w:tcPr>
            <w:tcW w:type="dxa" w:w="504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Daily copies and incremental replication every four hours</w:t>
            </w:r>
          </w:p>
        </w:tc>
        <w:tc>
          <w:tcPr>
            <w:tcW w:type="dxa" w:w="266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Immutable backups for 35 days; quarterly recovery tests</w:t>
            </w:r>
          </w:p>
        </w:tc>
      </w:tr>
      <w:tr>
        <w:trPr>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Vulnerabilities</w:t>
            </w:r>
          </w:p>
        </w:tc>
        <w:tc>
          <w:tcPr>
            <w:tcW w:type="dxa" w:w="504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System scans and external penetration testing</w:t>
            </w:r>
          </w:p>
        </w:tc>
        <w:tc>
          <w:tcPr>
            <w:tcW w:type="dxa" w:w="266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Monthly scans; annual external test</w:t>
            </w:r>
          </w:p>
        </w:tc>
      </w:tr>
      <w:tr>
        <w:trPr>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Personnel</w:t>
            </w:r>
          </w:p>
        </w:tc>
        <w:tc>
          <w:tcPr>
            <w:tcW w:type="dxa" w:w="504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Training and phishing simulations</w:t>
            </w:r>
          </w:p>
        </w:tc>
        <w:tc>
          <w:tcPr>
            <w:tcW w:type="dxa" w:w="266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Annual training; quarterly campaigns</w:t>
            </w:r>
          </w:p>
        </w:tc>
      </w:tr>
      <w:tr>
        <w:trPr>
          <w:cantSplit/>
        </w:trPr>
        <w:tc>
          <w:tcPr>
            <w:tcW w:type="dxa" w:w="19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Critical services</w:t>
            </w:r>
          </w:p>
        </w:tc>
        <w:tc>
          <w:tcPr>
            <w:tcW w:type="dxa" w:w="5046"/>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Alternative channel with the administrator and prime brokers</w:t>
            </w:r>
          </w:p>
        </w:tc>
        <w:tc>
          <w:tcPr>
            <w:tcW w:type="dxa" w:w="266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Full exercise at least annually</w:t>
            </w:r>
          </w:p>
        </w:tc>
      </w:tr>
    </w:tbl>
    <w:p>
      <w:pPr>
        <w:spacing w:after="0"/>
      </w:pPr>
    </w:p>
    <w:p>
      <w:pPr>
        <w:pStyle w:val="Heading2"/>
      </w:pPr>
      <w:r>
        <w:t>Recovery objectives</w:t>
      </w:r>
    </w:p>
    <w:p>
      <w:r>
        <w:rPr>
          <w:b w:val="0"/>
        </w:rPr>
        <w:t>The recovery time objective for critical trading and reconciliation processes is eight hours; the recovery point objective for the document archive is four hours. The first is the intended time to restore service; the second is the maximum planned data-loss window. These are plan objectives, not continuity guarantees.</w:t>
      </w:r>
    </w:p>
    <w:p>
      <w:r>
        <w:rPr>
          <w:b w:val="0"/>
        </w:rPr>
        <w:t>The simulated test on 15 May 2026 restored access to critical systems in six hours and recovered a data point from two hours before the interruption. The simulated penetration test on 20 June 2026 identified two medium and three low vulnerabilities, remediated by 31 July; no critical vulnerability is assumed. The technical report and independent certification are not included.</w:t>
      </w:r>
    </w:p>
    <w:p>
      <w:pPr>
        <w:pStyle w:val="Heading2"/>
      </w:pPr>
      <w:r>
        <w:t>Incident management</w:t>
      </w:r>
    </w:p>
    <w:p>
      <w:r>
        <w:rPr>
          <w:b w:val="0"/>
        </w:rPr>
        <w:t>The service desk informs IT and the COO within one hour of confirming a serious incident. The crisis group comprises the COO, IT, CCO and affected providers. Response includes isolation, preservation of evidence, assessment of affected data, recovery and root cause analysis. Compliance determines notification recipients and timing case by case, without assuming a single legal deadline.</w:t>
      </w:r>
    </w:p>
    <w:p>
      <w:r>
        <w:rPr>
          <w:b w:val="0"/>
        </w:rPr>
        <w:t>In the scenario, a 45-minute document portal outage on 8 July 2026 did not affect trading or cause data loss. No other material cybersecurity breaches are assumed between inception and the memorandum date. This absence is a narrative premise, not the result of an actual audit.</w:t>
      </w:r>
    </w:p>
    <w:p>
      <w:pPr>
        <w:pStyle w:val="Heading2"/>
      </w:pPr>
      <w:r>
        <w:t>Residual risks</w:t>
      </w:r>
    </w:p>
    <w:p>
      <w:r>
        <w:rPr>
          <w:b w:val="0"/>
        </w:rPr>
        <w:t>The plan retains dependencies on cloud services, telecommunications, the administrator and clearing. An event affecting several providers may exceed planned recovery times. If pre trade controls are unavailable, only risk reductions approved by the CRO through an alternative procedure are permitted; new investments await restoration.</w:t>
      </w:r>
    </w:p>
    <w:p>
      <w:r>
        <w:br w:type="page"/>
      </w:r>
    </w:p>
    <w:p>
      <w:pPr>
        <w:pStyle w:val="Heading1"/>
      </w:pPr>
      <w:r>
        <w:t>18  Investors reporting and capacity</w:t>
      </w:r>
    </w:p>
    <w:p>
      <w:r>
        <w:rPr>
          <w:b w:val="0"/>
          <w:sz w:val="18"/>
        </w:rPr>
        <w:t>DDQ reference  S18  |  Scenario owner  Investor Relations</w:t>
      </w:r>
    </w:p>
    <w:p>
      <w:r>
        <w:rPr>
          <w:b w:val="0"/>
        </w:rPr>
        <w:t>The fund has 28 investors in the scenario, with total net assets of EUR 360 million. Data are aggregated: no real client names are invented and no mandates are attributed to existing organisations. All investors are treated as professional investors in this academic case.</w:t>
      </w:r>
    </w:p>
    <w:tbl>
      <w:tblPr>
        <w:tblW w:type="auto" w:w="0"/>
        <w:jc w:val="center"/>
        <w:tblLayout w:type="fixed"/>
        <w:tblLook w:firstColumn="1" w:firstRow="1" w:lastColumn="0" w:lastRow="0" w:noHBand="0" w:noVBand="1" w:val="04A0"/>
      </w:tblPr>
      <w:tblGrid>
        <w:gridCol w:w="4535"/>
        <w:gridCol w:w="2268"/>
        <w:gridCol w:w="2835"/>
      </w:tblGrid>
      <w:tr>
        <w:trPr>
          <w:cantSplit/>
          <w:tblHeader/>
        </w:trPr>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Investor type</w:t>
            </w:r>
          </w:p>
        </w:tc>
        <w:tc>
          <w:tcPr>
            <w:tcW w:type="dxa" w:w="226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Share of NAV</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Simulated assets</w:t>
            </w:r>
          </w:p>
        </w:tc>
      </w:tr>
      <w:tr>
        <w:trPr>
          <w:cantSplit/>
        </w:trPr>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Pension funds and insurers</w:t>
            </w:r>
          </w:p>
        </w:tc>
        <w:tc>
          <w:tcPr>
            <w:tcW w:type="dxa" w:w="226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35%</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EUR 126.0 million</w:t>
            </w:r>
          </w:p>
        </w:tc>
      </w:tr>
      <w:tr>
        <w:trPr>
          <w:cantSplit/>
        </w:trPr>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Family offices</w:t>
            </w:r>
          </w:p>
        </w:tc>
        <w:tc>
          <w:tcPr>
            <w:tcW w:type="dxa" w:w="226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30%</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EUR 108.0 million</w:t>
            </w:r>
          </w:p>
        </w:tc>
      </w:tr>
      <w:tr>
        <w:trPr>
          <w:cantSplit/>
        </w:trPr>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Funds of funds</w:t>
            </w:r>
          </w:p>
        </w:tc>
        <w:tc>
          <w:tcPr>
            <w:tcW w:type="dxa" w:w="226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20%</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EUR 72.0 million</w:t>
            </w:r>
          </w:p>
        </w:tc>
      </w:tr>
      <w:tr>
        <w:trPr>
          <w:cantSplit/>
        </w:trPr>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Foundations and endowments</w:t>
            </w:r>
          </w:p>
        </w:tc>
        <w:tc>
          <w:tcPr>
            <w:tcW w:type="dxa" w:w="226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11.67%</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EUR 42.0 million</w:t>
            </w:r>
          </w:p>
        </w:tc>
      </w:tr>
      <w:tr>
        <w:trPr>
          <w:cantSplit/>
        </w:trPr>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Manager’s team and employees</w:t>
            </w:r>
          </w:p>
        </w:tc>
        <w:tc>
          <w:tcPr>
            <w:tcW w:type="dxa" w:w="226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3.33%</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EUR 12.0 million</w:t>
            </w:r>
          </w:p>
        </w:tc>
      </w:tr>
      <w:tr>
        <w:trPr>
          <w:cantSplit/>
        </w:trPr>
        <w:tc>
          <w:tcPr>
            <w:tcW w:type="dxa" w:w="45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Total</w:t>
            </w:r>
          </w:p>
        </w:tc>
        <w:tc>
          <w:tcPr>
            <w:tcW w:type="dxa" w:w="226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100%</w:t>
            </w:r>
          </w:p>
        </w:tc>
        <w:tc>
          <w:tcPr>
            <w:tcW w:type="dxa" w:w="283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EUR 360.0 million</w:t>
            </w:r>
          </w:p>
        </w:tc>
      </w:tr>
    </w:tbl>
    <w:p>
      <w:pPr>
        <w:spacing w:after="0"/>
      </w:pPr>
    </w:p>
    <w:p>
      <w:r>
        <w:rPr>
          <w:b w:val="0"/>
        </w:rPr>
        <w:t>The largest investor holds 12% of NAV, or EUR 43.2 million; the five largest account for 38%, or EUR 136.8 million. Investor domicile is distributed between continental Europe 60%, the United Kingdom 25% and other countries 15%. These proportions are hypothetical and imply no distribution authorisations in the countries mentioned.</w:t>
      </w:r>
    </w:p>
    <w:p>
      <w:pPr>
        <w:pStyle w:val="Heading2"/>
      </w:pPr>
      <w:r>
        <w:t>Reporting and information access</w:t>
      </w:r>
    </w:p>
    <w:tbl>
      <w:tblPr>
        <w:tblW w:type="auto" w:w="0"/>
        <w:jc w:val="center"/>
        <w:tblLayout w:type="fixed"/>
        <w:tblLook w:firstColumn="1" w:firstRow="1" w:lastColumn="0" w:lastRow="0" w:noHBand="0" w:noVBand="1" w:val="04A0"/>
      </w:tblPr>
      <w:tblGrid>
        <w:gridCol w:w="3628"/>
        <w:gridCol w:w="2324"/>
        <w:gridCol w:w="3685"/>
      </w:tblGrid>
      <w:tr>
        <w:trPr>
          <w:cantSplit/>
          <w:tblHeader/>
        </w:trPr>
        <w:tc>
          <w:tcPr>
            <w:tcW w:type="dxa" w:w="36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Document or service</w:t>
            </w:r>
          </w:p>
        </w:tc>
        <w:tc>
          <w:tcPr>
            <w:tcW w:type="dxa" w:w="232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Frequency</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Planned availability</w:t>
            </w:r>
          </w:p>
        </w:tc>
      </w:tr>
      <w:tr>
        <w:trPr>
          <w:cantSplit/>
        </w:trPr>
        <w:tc>
          <w:tcPr>
            <w:tcW w:type="dxa" w:w="36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Factsheet and manager commentary</w:t>
            </w:r>
          </w:p>
        </w:tc>
        <w:tc>
          <w:tcPr>
            <w:tcW w:type="dxa" w:w="232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Monthly</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Within ten business days of month end</w:t>
            </w:r>
          </w:p>
        </w:tc>
      </w:tr>
      <w:tr>
        <w:trPr>
          <w:cantSplit/>
        </w:trPr>
        <w:tc>
          <w:tcPr>
            <w:tcW w:type="dxa" w:w="36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Individual statement</w:t>
            </w:r>
          </w:p>
        </w:tc>
        <w:tc>
          <w:tcPr>
            <w:tcW w:type="dxa" w:w="232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Monthly</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Within ten business days of month end</w:t>
            </w:r>
          </w:p>
        </w:tc>
      </w:tr>
      <w:tr>
        <w:trPr>
          <w:cantSplit/>
        </w:trPr>
        <w:tc>
          <w:tcPr>
            <w:tcW w:type="dxa" w:w="36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Aggregate risk report</w:t>
            </w:r>
          </w:p>
        </w:tc>
        <w:tc>
          <w:tcPr>
            <w:tcW w:type="dxa" w:w="232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Monthly</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Exposures, liquidity and breaches; no named client details</w:t>
            </w:r>
          </w:p>
        </w:tc>
      </w:tr>
      <w:tr>
        <w:trPr>
          <w:cantSplit/>
        </w:trPr>
        <w:tc>
          <w:tcPr>
            <w:tcW w:type="dxa" w:w="36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Investor letter</w:t>
            </w:r>
          </w:p>
        </w:tc>
        <w:tc>
          <w:tcPr>
            <w:tcW w:type="dxa" w:w="232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Quarterly</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Within twenty business days of quarter end</w:t>
            </w:r>
          </w:p>
        </w:tc>
      </w:tr>
      <w:tr>
        <w:trPr>
          <w:cantSplit/>
        </w:trPr>
        <w:tc>
          <w:tcPr>
            <w:tcW w:type="dxa" w:w="36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Audited financial statements in the scenario</w:t>
            </w:r>
          </w:p>
        </w:tc>
        <w:tc>
          <w:tcPr>
            <w:tcW w:type="dxa" w:w="232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Annual</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Within four months of year end; actual report unavailable</w:t>
            </w:r>
          </w:p>
        </w:tc>
      </w:tr>
      <w:tr>
        <w:trPr>
          <w:cantSplit/>
        </w:trPr>
        <w:tc>
          <w:tcPr>
            <w:tcW w:type="dxa" w:w="36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Standard DDQ update</w:t>
            </w:r>
          </w:p>
        </w:tc>
        <w:tc>
          <w:tcPr>
            <w:tcW w:type="dxa" w:w="232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Quarterly and on material events</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Numbered version with sources and approvals</w:t>
            </w:r>
          </w:p>
        </w:tc>
      </w:tr>
      <w:tr>
        <w:trPr>
          <w:cantSplit/>
        </w:trPr>
        <w:tc>
          <w:tcPr>
            <w:tcW w:type="dxa" w:w="36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Team meeting</w:t>
            </w:r>
          </w:p>
        </w:tc>
        <w:tc>
          <w:tcPr>
            <w:tcW w:type="dxa" w:w="232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Quarterly on request</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Equal access to material information for equivalent investors</w:t>
            </w:r>
          </w:p>
        </w:tc>
      </w:tr>
    </w:tbl>
    <w:p>
      <w:pPr>
        <w:spacing w:after="0"/>
      </w:pPr>
    </w:p>
    <w:p>
      <w:pPr>
        <w:pStyle w:val="Heading2"/>
      </w:pPr>
      <w:r>
        <w:t>Capacity and asset growth</w:t>
      </w:r>
    </w:p>
    <w:p>
      <w:r>
        <w:rPr>
          <w:b w:val="0"/>
        </w:rPr>
        <w:t>Indicative strategy capacity is EUR 750 million, assessed against current liquidity conditions and the opportunity set. At EUR 600 million, a formal review is triggered and may lead to subscriptions being closed. EUR 750 million is neither a fundraising promise nor a permanent ceiling: any increase requires risk analysis and board approval.</w:t>
      </w:r>
    </w:p>
    <w:p>
      <w:r>
        <w:rPr>
          <w:b w:val="0"/>
        </w:rPr>
        <w:t>Simulated initial assets were EUR 80 million. The fund reaches EUR 360 million through performance and external flows; the memorandum does not contain a full historical subscription and redemption series. Asset growth therefore cannot be attributed solely to investment management. Side letters may address reporting and administrative requirements but do not provide preferential liquidity or fees different from the stated share class terms.</w:t>
      </w:r>
    </w:p>
    <w:p>
      <w:r>
        <w:br w:type="page"/>
      </w:r>
    </w:p>
    <w:p>
      <w:pPr>
        <w:pStyle w:val="Heading1"/>
      </w:pPr>
      <w:r>
        <w:t>19  Risks and adverse scenarios</w:t>
      </w:r>
    </w:p>
    <w:p>
      <w:r>
        <w:rPr>
          <w:b w:val="0"/>
          <w:sz w:val="18"/>
        </w:rPr>
        <w:t>DDQ reference  S19  |  Scenario owner  Chief Risk Officer and Board</w:t>
      </w:r>
    </w:p>
    <w:p>
      <w:r>
        <w:rPr>
          <w:b w:val="0"/>
        </w:rPr>
        <w:t>The strategy involves potential loss of capital. Diversification, hedging and independent review do not eliminate risk; long and short positions may lose money simultaneously. Synthetic historical metrics do not demonstrate an ability to generate future returns.</w:t>
      </w:r>
    </w:p>
    <w:tbl>
      <w:tblPr>
        <w:tblW w:type="auto" w:w="0"/>
        <w:jc w:val="center"/>
        <w:tblLayout w:type="fixed"/>
        <w:tblLook w:firstColumn="1" w:firstRow="1" w:lastColumn="0" w:lastRow="0" w:noHBand="0" w:noVBand="1" w:val="04A0"/>
      </w:tblPr>
      <w:tblGrid>
        <w:gridCol w:w="2154"/>
        <w:gridCol w:w="3798"/>
        <w:gridCol w:w="3685"/>
      </w:tblGrid>
      <w:tr>
        <w:trPr>
          <w:cantSplit/>
          <w:tblHeader/>
        </w:trPr>
        <w:tc>
          <w:tcPr>
            <w:tcW w:type="dxa" w:w="215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Material risk</w:t>
            </w:r>
          </w:p>
        </w:tc>
        <w:tc>
          <w:tcPr>
            <w:tcW w:type="dxa" w:w="379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Loss or disruption mechanism</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Control and its limitation</w:t>
            </w:r>
          </w:p>
        </w:tc>
      </w:tr>
      <w:tr>
        <w:trPr>
          <w:cantSplit/>
        </w:trPr>
        <w:tc>
          <w:tcPr>
            <w:tcW w:type="dxa" w:w="215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Selection and concentration</w:t>
            </w:r>
          </w:p>
        </w:tc>
        <w:tc>
          <w:tcPr>
            <w:tcW w:type="dxa" w:w="379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An incorrect thesis damages significant or correlated positions</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Issuer limits and independent review; correlations may increase</w:t>
            </w:r>
          </w:p>
        </w:tc>
      </w:tr>
      <w:tr>
        <w:trPr>
          <w:cantSplit/>
        </w:trPr>
        <w:tc>
          <w:tcPr>
            <w:tcW w:type="dxa" w:w="215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Short selling</w:t>
            </w:r>
          </w:p>
        </w:tc>
        <w:tc>
          <w:tcPr>
            <w:tcW w:type="dxa" w:w="379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Price rallies, squeezes, higher borrowing costs or stock recalls</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Limited position sizes and daily checks; short losses may exceed allocated capital</w:t>
            </w:r>
          </w:p>
        </w:tc>
      </w:tr>
      <w:tr>
        <w:trPr>
          <w:cantSplit/>
        </w:trPr>
        <w:tc>
          <w:tcPr>
            <w:tcW w:type="dxa" w:w="215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Market and factors</w:t>
            </w:r>
          </w:p>
        </w:tc>
        <w:tc>
          <w:tcPr>
            <w:tcW w:type="dxa" w:w="379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Index hedges do not replicate individual stock risks</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Factor analysis and stress tests; basis risk remains</w:t>
            </w:r>
          </w:p>
        </w:tc>
      </w:tr>
      <w:tr>
        <w:trPr>
          <w:cantSplit/>
        </w:trPr>
        <w:tc>
          <w:tcPr>
            <w:tcW w:type="dxa" w:w="215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Liquidity and redemptions</w:t>
            </w:r>
          </w:p>
        </w:tc>
        <w:tc>
          <w:tcPr>
            <w:tcW w:type="dxa" w:w="379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Concentrated requests require sales in weak markets</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Cash, notice and gates; redemptions may be deferred for a prolonged period</w:t>
            </w:r>
          </w:p>
        </w:tc>
      </w:tr>
      <w:tr>
        <w:trPr>
          <w:cantSplit/>
        </w:trPr>
        <w:tc>
          <w:tcPr>
            <w:tcW w:type="dxa" w:w="215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Counterparty and collateral</w:t>
            </w:r>
          </w:p>
        </w:tc>
        <w:tc>
          <w:tcPr>
            <w:tcW w:type="dxa" w:w="379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Insolvency or delays in recovering assets</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Diversification and reconciliation; recovery is not guaranteed</w:t>
            </w:r>
          </w:p>
        </w:tc>
      </w:tr>
      <w:tr>
        <w:trPr>
          <w:cantSplit/>
        </w:trPr>
        <w:tc>
          <w:tcPr>
            <w:tcW w:type="dxa" w:w="215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People and processes</w:t>
            </w:r>
          </w:p>
        </w:tc>
        <w:tc>
          <w:tcPr>
            <w:tcW w:type="dxa" w:w="379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Lead manager departure, operational error or data loss</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Succession, segregation and backups; residual risk remains</w:t>
            </w:r>
          </w:p>
        </w:tc>
      </w:tr>
    </w:tbl>
    <w:p>
      <w:pPr>
        <w:spacing w:after="0"/>
      </w:pPr>
    </w:p>
    <w:p>
      <w:pPr>
        <w:pStyle w:val="Heading2"/>
      </w:pPr>
      <w:r>
        <w:t>Illustrative stresses on the portfolio snapshot</w:t>
      </w:r>
    </w:p>
    <w:tbl>
      <w:tblPr>
        <w:tblW w:type="auto" w:w="0"/>
        <w:jc w:val="center"/>
        <w:tblLayout w:type="fixed"/>
        <w:tblLook w:firstColumn="1" w:firstRow="1" w:lastColumn="0" w:lastRow="0" w:noHBand="0" w:noVBand="1" w:val="04A0"/>
      </w:tblPr>
      <w:tblGrid>
        <w:gridCol w:w="2665"/>
        <w:gridCol w:w="4592"/>
        <w:gridCol w:w="2381"/>
      </w:tblGrid>
      <w:tr>
        <w:trPr>
          <w:cantSplit/>
          <w:tblHeader/>
        </w:trPr>
        <w:tc>
          <w:tcPr>
            <w:tcW w:type="dxa" w:w="266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Hypothetical scenario</w:t>
            </w:r>
          </w:p>
        </w:tc>
        <w:tc>
          <w:tcPr>
            <w:tcW w:type="dxa" w:w="459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Simplified assumptions</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Impact on NAV</w:t>
            </w:r>
          </w:p>
        </w:tc>
      </w:tr>
      <w:tr>
        <w:trPr>
          <w:cantSplit/>
        </w:trPr>
        <w:tc>
          <w:tcPr>
            <w:tcW w:type="dxa" w:w="266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Equity sell-off</w:t>
            </w:r>
          </w:p>
        </w:tc>
        <w:tc>
          <w:tcPr>
            <w:tcW w:type="dxa" w:w="459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Longs −15%; short equities −18%; short indices −20%</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−5.85% / EUR −21.06 million</w:t>
            </w:r>
          </w:p>
        </w:tc>
      </w:tr>
      <w:tr>
        <w:trPr>
          <w:cantSplit/>
        </w:trPr>
        <w:tc>
          <w:tcPr>
            <w:tcW w:type="dxa" w:w="266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Losses on both sides</w:t>
            </w:r>
          </w:p>
        </w:tc>
        <w:tc>
          <w:tcPr>
            <w:tcW w:type="dxa" w:w="459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Longs −8%; short equities +20%; short indices +6%</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−14.50% / EUR −52.20 million</w:t>
            </w:r>
          </w:p>
        </w:tc>
      </w:tr>
      <w:tr>
        <w:trPr>
          <w:cantSplit/>
        </w:trPr>
        <w:tc>
          <w:tcPr>
            <w:tcW w:type="dxa" w:w="266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Isolated currency shock</w:t>
            </w:r>
          </w:p>
        </w:tc>
        <w:tc>
          <w:tcPr>
            <w:tcW w:type="dxa" w:w="459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10% loss on the entire 8% residual currency exposure</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−0.80% / EUR −2.88 million</w:t>
            </w:r>
          </w:p>
        </w:tc>
      </w:tr>
      <w:tr>
        <w:trPr>
          <w:cantSplit/>
        </w:trPr>
        <w:tc>
          <w:tcPr>
            <w:tcW w:type="dxa" w:w="266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Collateral call</w:t>
            </w:r>
          </w:p>
        </w:tc>
        <w:tc>
          <w:tcPr>
            <w:tcW w:type="dxa" w:w="459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Additional margins of 5% of NAV, with no other flows</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EUR 18 million cash requirement; not an automatic loss</w:t>
            </w:r>
          </w:p>
        </w:tc>
      </w:tr>
    </w:tbl>
    <w:p>
      <w:pPr>
        <w:spacing w:after="0"/>
      </w:pPr>
    </w:p>
    <w:p>
      <w:r>
        <w:rPr>
          <w:b w:val="0"/>
        </w:rPr>
        <w:t>The first two impacts are calculated linearly on long weights of 95%, direct shorts of 30% and short futures of 15%. For the sell-off: 95% × (−15%) − 30% × (−18%) − 15% × (−20%) = −5.85%. Fees, slippage, currency movements and changes in exposure are excluded. No probabilities are assigned to the scenarios; they are neither forecasts nor maximum losses.</w:t>
      </w:r>
    </w:p>
    <w:p>
      <w:pPr>
        <w:pStyle w:val="Heading2"/>
      </w:pPr>
      <w:r>
        <w:t>Considerations before a hypothetical investment</w:t>
      </w:r>
    </w:p>
    <w:p>
      <w:r>
        <w:rPr>
          <w:b w:val="0"/>
        </w:rPr>
        <w:t>The allocation thesis requires confidence in research quality, tolerance for double-digit losses and compatibility with monthly redemptions. An investor should be able to review constitutional documents, contracts, operational evidence and financial statements. Such evidence does not exist in the academic case: this memorandum supports a simulated initial DDQ review, not complete actual due diligence.</w:t>
      </w:r>
    </w:p>
    <w:p>
      <w:r>
        <w:br w:type="page"/>
      </w:r>
    </w:p>
    <w:p>
      <w:pPr>
        <w:pStyle w:val="Heading1"/>
      </w:pPr>
      <w:r>
        <w:t>20  Document register and DDQ coverage</w:t>
      </w:r>
    </w:p>
    <w:p>
      <w:r>
        <w:rPr>
          <w:b w:val="0"/>
          <w:sz w:val="18"/>
        </w:rPr>
        <w:t>DDQ reference  S20  |  Scenario owner  Investor Relations and Compliance</w:t>
      </w:r>
    </w:p>
    <w:p>
      <w:r>
        <w:rPr>
          <w:b w:val="0"/>
        </w:rPr>
        <w:t>The register identifies dataset scope, dates and responsibilities. All information is synthetic except the biographical note in S03. Owners and reviews belong to the academic scenario.</w:t>
      </w:r>
    </w:p>
    <w:tbl>
      <w:tblPr>
        <w:tblW w:type="auto" w:w="0"/>
        <w:jc w:val="center"/>
        <w:tblLayout w:type="fixed"/>
        <w:tblLook w:firstColumn="1" w:firstRow="1" w:lastColumn="0" w:lastRow="0" w:noHBand="0" w:noVBand="1" w:val="04A0"/>
      </w:tblPr>
      <w:tblGrid>
        <w:gridCol w:w="3402"/>
        <w:gridCol w:w="1587"/>
        <w:gridCol w:w="4649"/>
      </w:tblGrid>
      <w:tr>
        <w:trPr>
          <w:cantSplit/>
          <w:tblHeader/>
        </w:trPr>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Information group</w:t>
            </w:r>
          </w:p>
        </w:tc>
        <w:tc>
          <w:tcPr>
            <w:tcW w:type="dxa" w:w="158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Sections</w:t>
            </w:r>
          </w:p>
        </w:tc>
        <w:tc>
          <w:tcPr>
            <w:tcW w:type="dxa" w:w="464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243B53"/>
          </w:tcPr>
          <w:p>
            <w:pPr>
              <w:spacing w:after="0" w:before="0" w:line="245" w:lineRule="auto"/>
            </w:pPr>
            <w:r>
              <w:rPr>
                <w:b/>
                <w:color w:val="FFFFFF"/>
                <w:sz w:val="18"/>
              </w:rPr>
              <w:t>Reference date and planned review</w:t>
            </w:r>
          </w:p>
        </w:tc>
      </w:tr>
      <w:tr>
        <w:trPr>
          <w:cantSplit/>
        </w:trPr>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Fund identity and terms</w:t>
            </w:r>
          </w:p>
        </w:tc>
        <w:tc>
          <w:tcPr>
            <w:tcW w:type="dxa" w:w="158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S02, S11, S12</w:t>
            </w:r>
          </w:p>
        </w:tc>
        <w:tc>
          <w:tcPr>
            <w:tcW w:type="dxa" w:w="464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Scenario terms effective at 30 September 2026; annual review or on amendment</w:t>
            </w:r>
          </w:p>
        </w:tc>
      </w:tr>
      <w:tr>
        <w:trPr>
          <w:cantSplit/>
        </w:trPr>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Team and governance</w:t>
            </w:r>
          </w:p>
        </w:tc>
        <w:tc>
          <w:tcPr>
            <w:tcW w:type="dxa" w:w="158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S03, S04</w:t>
            </w:r>
          </w:p>
        </w:tc>
        <w:tc>
          <w:tcPr>
            <w:tcW w:type="dxa" w:w="464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Snapshot at 30 September 2026; quarterly verification and on every change</w:t>
            </w:r>
          </w:p>
        </w:tc>
      </w:tr>
      <w:tr>
        <w:trPr>
          <w:cantSplit/>
        </w:trPr>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Strategy and process</w:t>
            </w:r>
          </w:p>
        </w:tc>
        <w:tc>
          <w:tcPr>
            <w:tcW w:type="dxa" w:w="158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S05, S06</w:t>
            </w:r>
          </w:p>
        </w:tc>
        <w:tc>
          <w:tcPr>
            <w:tcW w:type="dxa" w:w="464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Policy effective from 1 January 2026; annual review</w:t>
            </w:r>
          </w:p>
        </w:tc>
      </w:tr>
      <w:tr>
        <w:trPr>
          <w:cantSplit/>
        </w:trPr>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Portfolio and risk</w:t>
            </w:r>
          </w:p>
        </w:tc>
        <w:tc>
          <w:tcPr>
            <w:tcW w:type="dxa" w:w="158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S07–S09</w:t>
            </w:r>
          </w:p>
        </w:tc>
        <w:tc>
          <w:tcPr>
            <w:tcW w:type="dxa" w:w="464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Snapshot at 30 September 2026; next monthly update at 31 October</w:t>
            </w:r>
          </w:p>
        </w:tc>
      </w:tr>
      <w:tr>
        <w:trPr>
          <w:cantSplit/>
        </w:trPr>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Class I performance</w:t>
            </w:r>
          </w:p>
        </w:tc>
        <w:tc>
          <w:tcPr>
            <w:tcW w:type="dxa" w:w="158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S10</w:t>
            </w:r>
          </w:p>
        </w:tc>
        <w:tc>
          <w:tcPr>
            <w:tcW w:type="dxa" w:w="464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Monthly series January 2023–September 2026; update at the end of October</w:t>
            </w:r>
          </w:p>
        </w:tc>
      </w:tr>
      <w:tr>
        <w:trPr>
          <w:cantSplit/>
        </w:trPr>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Operations and compliance</w:t>
            </w:r>
          </w:p>
        </w:tc>
        <w:tc>
          <w:tcPr>
            <w:tcW w:type="dxa" w:w="158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S13–S15</w:t>
            </w:r>
          </w:p>
        </w:tc>
        <w:tc>
          <w:tcPr>
            <w:tcW w:type="dxa" w:w="464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Policies dated 1 January 2026; events updated to 30 September</w:t>
            </w:r>
          </w:p>
        </w:tc>
      </w:tr>
      <w:tr>
        <w:trPr>
          <w:cantSplit/>
        </w:trPr>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ESG and security</w:t>
            </w:r>
          </w:p>
        </w:tc>
        <w:tc>
          <w:tcPr>
            <w:tcW w:type="dxa" w:w="158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S16, S17</w:t>
            </w:r>
          </w:p>
        </w:tc>
        <w:tc>
          <w:tcPr>
            <w:tcW w:type="dxa" w:w="464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0" w:before="0" w:line="245" w:lineRule="auto"/>
            </w:pPr>
            <w:r>
              <w:rPr>
                <w:sz w:val="18"/>
              </w:rPr>
              <w:t>Indicators at 30 September 2026; controls with their specific stated dates</w:t>
            </w:r>
          </w:p>
        </w:tc>
      </w:tr>
      <w:tr>
        <w:trPr>
          <w:cantSplit/>
        </w:trPr>
        <w:tc>
          <w:tcPr>
            <w:tcW w:type="dxa" w:w="3402"/>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Investors and capacity</w:t>
            </w:r>
          </w:p>
        </w:tc>
        <w:tc>
          <w:tcPr>
            <w:tcW w:type="dxa" w:w="158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S18</w:t>
            </w:r>
          </w:p>
        </w:tc>
        <w:tc>
          <w:tcPr>
            <w:tcW w:type="dxa" w:w="464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1F4F7"/>
          </w:tcPr>
          <w:p>
            <w:pPr>
              <w:spacing w:after="0" w:before="0" w:line="245" w:lineRule="auto"/>
            </w:pPr>
            <w:r>
              <w:rPr>
                <w:sz w:val="18"/>
              </w:rPr>
              <w:t>Snapshot at 30 September 2026; quarterly review</w:t>
            </w:r>
          </w:p>
        </w:tc>
      </w:tr>
    </w:tbl>
    <w:p>
      <w:pPr>
        <w:spacing w:after="0"/>
      </w:pPr>
    </w:p>
    <w:p>
      <w:pPr>
        <w:pStyle w:val="Heading2"/>
      </w:pPr>
      <w:r>
        <w:t>Information not included in the case</w:t>
      </w:r>
    </w:p>
    <w:p>
      <w:r>
        <w:rPr>
          <w:b w:val="0"/>
        </w:rPr>
        <w:t>The following are not available: complete holdings list; named investor data; daily returns or Class F returns; gross performance; signed stock borrowing agreements; personal AML documents; SOC reports or ISO certifications; audit opinion; authentic constitutional documents; regulatory authorisations; SFDR classification; tax opinions; performance forecasts. The absence of a document cannot be converted into an affirmative or negative statement about its contents.</w:t>
      </w:r>
    </w:p>
    <w:p>
      <w:pPr>
        <w:pStyle w:val="Heading2"/>
      </w:pPr>
      <w:r>
        <w:t>Examples of retrievable facts</w:t>
      </w:r>
    </w:p>
    <w:p>
      <w:r>
        <w:rPr>
          <w:b w:val="0"/>
        </w:rPr>
        <w:t>“What are the fund’s net assets?” → EUR 360 million at 30 September 2026, S02. “What is the Class I management fee?” → 0.85% annually, S11. “Is the fund ISO 27001 certified?” → information not available; the controls in S17 do not constitute certification.</w:t>
      </w:r>
    </w:p>
    <w:p>
      <w:pPr>
        <w:pStyle w:val="Heading2"/>
      </w:pPr>
      <w:r>
        <w:t>Essential definitions</w:t>
      </w:r>
    </w:p>
    <w:p>
      <w:r>
        <w:rPr>
          <w:b w:val="0"/>
        </w:rPr>
        <w:t>NAV: assets less liabilities of a fund or share class. Net equity exposure: longs minus shorts, including equity futures. Gross equity exposure: the sum of the absolute values of both components. High water mark: historical net level that must be exceeded for a new performance fee to accrue. Gate: limit on shares redeemable on a dealing date. RTO: target recovery time. RPO: maximum data-loss window envisaged by the plan.</w:t>
      </w:r>
    </w:p>
    <w:p>
      <w:pPr>
        <w:pStyle w:val="Heading2"/>
      </w:pPr>
      <w:r>
        <w:t>Version and external source</w:t>
      </w:r>
    </w:p>
    <w:p>
      <w:r>
        <w:rPr>
          <w:b w:val="0"/>
        </w:rPr>
        <w:t>Version 1.0 dated 13 October 2026, AURORA-IM-2026-09. Reference version for the academic dataset; fictional approvers Claire Dubois and Matteo Rinaldi. No actual signature or previous version.</w:t>
      </w:r>
    </w:p>
    <w:p>
      <w:r>
        <w:rPr>
          <w:b w:val="0"/>
          <w:sz w:val="18"/>
        </w:rPr>
        <w:t>Sole external factual source: Alken Fund, “Alken Asset Management”, https://www.alken-fund.com/AlkenAssetManagement, accessed 13 October 2026. The source supports only the real biographical note in S03; it supports no financial or operational data for the fictional fund.</w:t>
      </w:r>
    </w:p>
    <w:sectPr w:rsidR="00FC693F" w:rsidRPr="0006063C" w:rsidSect="00034616">
      <w:headerReference w:type="default" r:id="rId9"/>
      <w:footerReference w:type="default" r:id="rId10"/>
      <w:pgSz w:w="11906" w:h="16838"/>
      <w:pgMar w:top="1049" w:right="1134" w:bottom="964" w:left="1134" w:header="425"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sz w:val="16"/>
      </w:rPr>
      <w:t>ACADEMIC SIMULATION  •  30 SEPTEMBER 2026  •  VERSION 1.0</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ALKEN AURORA  |  INVESTMENT MEMORANDUM  |  FICTIONAL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GB"/>
    </w:rPr>
  </w:style>
  <w:style w:type="character" w:customStyle="1" w:styleId="HeaderChar">
    <w:name w:val="Header Char"/>
    <w:basedOn w:val="DefaultParagraphFont"/>
    <w:link w:val="Header"/>
    <w:uiPriority w:val="99"/>
    <w:rsid w:val="00E618BF"/>
    <w:rPr>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GB"/>
    </w:rPr>
  </w:style>
  <w:style w:type="character" w:customStyle="1" w:styleId="FooterChar">
    <w:name w:val="Footer Char"/>
    <w:basedOn w:val="DefaultParagraphFont"/>
    <w:link w:val="Footer"/>
    <w:uiPriority w:val="99"/>
    <w:rsid w:val="00E618BF"/>
    <w:rPr>
      <w:lang w:val="en-GB"/>
    </w:rPr>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000000"/>
      <w:sz w:val="38"/>
      <w:szCs w:val="28"/>
      <w:lang w:val="en-GB"/>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lang w:val="en-GB"/>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G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G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GB"/>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GB"/>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GB"/>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GB"/>
    </w:rPr>
  </w:style>
  <w:style w:type="character" w:default="1" w:styleId="DefaultParagraphFont">
    <w:name w:val="Default Paragraph Font"/>
    <w:uiPriority w:val="1"/>
    <w:semiHidden/>
    <w:unhideWhenUsed/>
    <w:rPr>
      <w:lang w:val="en-GB"/>
    </w:rPr>
  </w:style>
  <w:style w:type="table" w:default="1" w:styleId="TableNormal">
    <w:name w:val="Normal Table"/>
    <w:uiPriority w:val="99"/>
    <w:semiHidden/>
    <w:unhideWhenUsed/>
    <w:rPr>
      <w:lang w:val="en-GB"/>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n-GB"/>
    </w:rPr>
  </w:style>
  <w:style w:type="paragraph" w:styleId="NoSpacing">
    <w:name w:val="No Spacing"/>
    <w:uiPriority w:val="1"/>
    <w:qFormat/>
    <w:rsid w:val="00FC693F"/>
    <w:pPr>
      <w:spacing w:after="0" w:line="240" w:lineRule="auto"/>
    </w:pPr>
    <w:rPr>
      <w:lang w:val="en-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GB"/>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GB"/>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GB"/>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58"/>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GB"/>
    </w:rPr>
  </w:style>
  <w:style w:type="paragraph" w:styleId="Subtitle">
    <w:name w:val="Subtitle"/>
    <w:basedOn w:val="Normal"/>
    <w:next w:val="Normal"/>
    <w:link w:val="SubtitleChar"/>
    <w:uiPriority w:val="11"/>
    <w:qFormat/>
    <w:rsid w:val="00FC693F"/>
    <w:pPr>
      <w:keepNext/>
      <w:numPr>
        <w:ilvl w:val="1"/>
      </w:numPr>
      <w:spacing w:after="120" w:before="0"/>
    </w:pPr>
    <w:rPr>
      <w:rFonts w:asciiTheme="majorHAnsi" w:eastAsiaTheme="majorEastAsia" w:hAnsiTheme="majorHAnsi" w:cstheme="majorBidi" w:ascii="Calibri" w:hAnsi="Calibri"/>
      <w:i/>
      <w:iCs/>
      <w:color w:val="000000"/>
      <w:spacing w:val="15"/>
      <w:sz w:val="28"/>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GB"/>
    </w:rPr>
  </w:style>
  <w:style w:type="paragraph" w:styleId="ListParagraph">
    <w:name w:val="List Paragraph"/>
    <w:basedOn w:val="Normal"/>
    <w:uiPriority w:val="34"/>
    <w:qFormat/>
    <w:rsid w:val="00FC693F"/>
    <w:pPr>
      <w:ind w:left="720"/>
      <w:contextualSpacing/>
    </w:pPr>
    <w:rPr>
      <w:lang w:val="en-GB"/>
    </w:rPr>
  </w:style>
  <w:style w:type="paragraph" w:styleId="BodyText">
    <w:name w:val="Body Text"/>
    <w:basedOn w:val="Normal"/>
    <w:link w:val="BodyTextChar"/>
    <w:uiPriority w:val="99"/>
    <w:unhideWhenUsed/>
    <w:rsid w:val="00AA1D8D"/>
    <w:pPr>
      <w:spacing w:after="120"/>
    </w:pPr>
    <w:rPr>
      <w:lang w:val="en-GB"/>
    </w:rPr>
  </w:style>
  <w:style w:type="character" w:customStyle="1" w:styleId="BodyTextChar">
    <w:name w:val="Body Text Char"/>
    <w:basedOn w:val="DefaultParagraphFont"/>
    <w:link w:val="BodyText"/>
    <w:uiPriority w:val="99"/>
    <w:rsid w:val="00AA1D8D"/>
    <w:rPr>
      <w:lang w:val="en-GB"/>
    </w:rPr>
  </w:style>
  <w:style w:type="paragraph" w:styleId="BodyText2">
    <w:name w:val="Body Text 2"/>
    <w:basedOn w:val="Normal"/>
    <w:link w:val="BodyText2Char"/>
    <w:uiPriority w:val="99"/>
    <w:unhideWhenUsed/>
    <w:rsid w:val="00AA1D8D"/>
    <w:pPr>
      <w:spacing w:after="120" w:line="480" w:lineRule="auto"/>
    </w:pPr>
    <w:rPr>
      <w:lang w:val="en-GB"/>
    </w:rPr>
  </w:style>
  <w:style w:type="character" w:customStyle="1" w:styleId="BodyText2Char">
    <w:name w:val="Body Text 2 Char"/>
    <w:basedOn w:val="DefaultParagraphFont"/>
    <w:link w:val="BodyText2"/>
    <w:uiPriority w:val="99"/>
    <w:rsid w:val="00AA1D8D"/>
    <w:rPr>
      <w:lang w:val="en-GB"/>
    </w:rPr>
  </w:style>
  <w:style w:type="paragraph" w:styleId="BodyText3">
    <w:name w:val="Body Text 3"/>
    <w:basedOn w:val="Normal"/>
    <w:link w:val="BodyText3Char"/>
    <w:uiPriority w:val="99"/>
    <w:unhideWhenUsed/>
    <w:rsid w:val="00AA1D8D"/>
    <w:pPr>
      <w:spacing w:after="120"/>
    </w:pPr>
    <w:rPr>
      <w:sz w:val="16"/>
      <w:szCs w:val="16"/>
      <w:lang w:val="en-GB"/>
    </w:rPr>
  </w:style>
  <w:style w:type="character" w:customStyle="1" w:styleId="BodyText3Char">
    <w:name w:val="Body Text 3 Char"/>
    <w:basedOn w:val="DefaultParagraphFont"/>
    <w:link w:val="BodyText3"/>
    <w:uiPriority w:val="99"/>
    <w:rsid w:val="00AA1D8D"/>
    <w:rPr>
      <w:sz w:val="16"/>
      <w:szCs w:val="16"/>
      <w:lang w:val="en-GB"/>
    </w:rPr>
  </w:style>
  <w:style w:type="paragraph" w:styleId="List">
    <w:name w:val="List"/>
    <w:basedOn w:val="Normal"/>
    <w:uiPriority w:val="99"/>
    <w:unhideWhenUsed/>
    <w:rsid w:val="00AA1D8D"/>
    <w:pPr>
      <w:ind w:left="360" w:hanging="360"/>
      <w:contextualSpacing/>
    </w:pPr>
    <w:rPr>
      <w:lang w:val="en-GB"/>
    </w:rPr>
  </w:style>
  <w:style w:type="paragraph" w:styleId="List2">
    <w:name w:val="List 2"/>
    <w:basedOn w:val="Normal"/>
    <w:uiPriority w:val="99"/>
    <w:unhideWhenUsed/>
    <w:rsid w:val="00326F90"/>
    <w:pPr>
      <w:ind w:left="720" w:hanging="360"/>
      <w:contextualSpacing/>
    </w:pPr>
    <w:rPr>
      <w:lang w:val="en-GB"/>
    </w:rPr>
  </w:style>
  <w:style w:type="paragraph" w:styleId="List3">
    <w:name w:val="List 3"/>
    <w:basedOn w:val="Normal"/>
    <w:uiPriority w:val="99"/>
    <w:unhideWhenUsed/>
    <w:rsid w:val="00326F90"/>
    <w:pPr>
      <w:ind w:left="1080" w:hanging="360"/>
      <w:contextualSpacing/>
    </w:pPr>
    <w:rPr>
      <w:lang w:val="en-GB"/>
    </w:rPr>
  </w:style>
  <w:style w:type="paragraph" w:styleId="ListBullet">
    <w:name w:val="List Bullet"/>
    <w:basedOn w:val="Normal"/>
    <w:uiPriority w:val="99"/>
    <w:unhideWhenUsed/>
    <w:rsid w:val="00326F90"/>
    <w:pPr>
      <w:numPr>
        <w:numId w:val="1"/>
      </w:numPr>
      <w:contextualSpacing/>
    </w:pPr>
    <w:rPr>
      <w:lang w:val="en-GB"/>
    </w:rPr>
  </w:style>
  <w:style w:type="paragraph" w:styleId="ListBullet2">
    <w:name w:val="List Bullet 2"/>
    <w:basedOn w:val="Normal"/>
    <w:uiPriority w:val="99"/>
    <w:unhideWhenUsed/>
    <w:rsid w:val="00326F90"/>
    <w:pPr>
      <w:numPr>
        <w:numId w:val="2"/>
      </w:numPr>
      <w:contextualSpacing/>
    </w:pPr>
    <w:rPr>
      <w:lang w:val="en-GB"/>
    </w:rPr>
  </w:style>
  <w:style w:type="paragraph" w:styleId="ListBullet3">
    <w:name w:val="List Bullet 3"/>
    <w:basedOn w:val="Normal"/>
    <w:uiPriority w:val="99"/>
    <w:unhideWhenUsed/>
    <w:rsid w:val="00326F90"/>
    <w:pPr>
      <w:numPr>
        <w:numId w:val="3"/>
      </w:numPr>
      <w:contextualSpacing/>
    </w:pPr>
    <w:rPr>
      <w:lang w:val="en-GB"/>
    </w:rPr>
  </w:style>
  <w:style w:type="paragraph" w:styleId="ListNumber">
    <w:name w:val="List Number"/>
    <w:basedOn w:val="Normal"/>
    <w:uiPriority w:val="99"/>
    <w:unhideWhenUsed/>
    <w:rsid w:val="00326F90"/>
    <w:pPr>
      <w:numPr>
        <w:numId w:val="5"/>
      </w:numPr>
      <w:contextualSpacing/>
    </w:pPr>
    <w:rPr>
      <w:lang w:val="en-GB"/>
    </w:rPr>
  </w:style>
  <w:style w:type="paragraph" w:styleId="ListNumber2">
    <w:name w:val="List Number 2"/>
    <w:basedOn w:val="Normal"/>
    <w:uiPriority w:val="99"/>
    <w:unhideWhenUsed/>
    <w:rsid w:val="0029639D"/>
    <w:pPr>
      <w:numPr>
        <w:numId w:val="6"/>
      </w:numPr>
      <w:contextualSpacing/>
    </w:pPr>
    <w:rPr>
      <w:lang w:val="en-GB"/>
    </w:rPr>
  </w:style>
  <w:style w:type="paragraph" w:styleId="ListNumber3">
    <w:name w:val="List Number 3"/>
    <w:basedOn w:val="Normal"/>
    <w:uiPriority w:val="99"/>
    <w:unhideWhenUsed/>
    <w:rsid w:val="0029639D"/>
    <w:pPr>
      <w:numPr>
        <w:numId w:val="7"/>
      </w:numPr>
      <w:contextualSpacing/>
    </w:pPr>
    <w:rPr>
      <w:lang w:val="en-GB"/>
    </w:rPr>
  </w:style>
  <w:style w:type="paragraph" w:styleId="ListContinue">
    <w:name w:val="List Continue"/>
    <w:basedOn w:val="Normal"/>
    <w:uiPriority w:val="99"/>
    <w:unhideWhenUsed/>
    <w:rsid w:val="0029639D"/>
    <w:pPr>
      <w:spacing w:after="120"/>
      <w:ind w:left="360"/>
      <w:contextualSpacing/>
    </w:pPr>
    <w:rPr>
      <w:lang w:val="en-GB"/>
    </w:rPr>
  </w:style>
  <w:style w:type="paragraph" w:styleId="ListContinue2">
    <w:name w:val="List Continue 2"/>
    <w:basedOn w:val="Normal"/>
    <w:uiPriority w:val="99"/>
    <w:unhideWhenUsed/>
    <w:rsid w:val="0029639D"/>
    <w:pPr>
      <w:spacing w:after="120"/>
      <w:ind w:left="720"/>
      <w:contextualSpacing/>
    </w:pPr>
    <w:rPr>
      <w:lang w:val="en-GB"/>
    </w:rPr>
  </w:style>
  <w:style w:type="paragraph" w:styleId="ListContinue3">
    <w:name w:val="List Continue 3"/>
    <w:basedOn w:val="Normal"/>
    <w:uiPriority w:val="99"/>
    <w:unhideWhenUsed/>
    <w:rsid w:val="0029639D"/>
    <w:pPr>
      <w:spacing w:after="120"/>
      <w:ind w:left="1080"/>
      <w:contextualSpacing/>
    </w:pPr>
    <w:rPr>
      <w:lang w:val="en-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GB"/>
    </w:rPr>
  </w:style>
  <w:style w:type="character" w:customStyle="1" w:styleId="MacroTextChar">
    <w:name w:val="Macro Text Char"/>
    <w:basedOn w:val="DefaultParagraphFont"/>
    <w:link w:val="MacroText"/>
    <w:uiPriority w:val="99"/>
    <w:rsid w:val="0029639D"/>
    <w:rPr>
      <w:rFonts w:ascii="Courier" w:hAnsi="Courier"/>
      <w:sz w:val="20"/>
      <w:szCs w:val="20"/>
      <w:lang w:val="en-GB"/>
    </w:rPr>
  </w:style>
  <w:style w:type="paragraph" w:styleId="Quote">
    <w:name w:val="Quote"/>
    <w:basedOn w:val="Normal"/>
    <w:next w:val="Normal"/>
    <w:link w:val="QuoteChar"/>
    <w:uiPriority w:val="29"/>
    <w:qFormat/>
    <w:rsid w:val="00FC693F"/>
    <w:rPr>
      <w:i/>
      <w:iCs/>
      <w:color w:val="000000" w:themeColor="text1"/>
      <w:lang w:val="en-GB"/>
    </w:rPr>
  </w:style>
  <w:style w:type="character" w:customStyle="1" w:styleId="QuoteChar">
    <w:name w:val="Quote Char"/>
    <w:basedOn w:val="DefaultParagraphFont"/>
    <w:link w:val="Quote"/>
    <w:uiPriority w:val="29"/>
    <w:rsid w:val="00FC693F"/>
    <w:rPr>
      <w:i/>
      <w:iCs/>
      <w:color w:val="000000" w:themeColor="text1"/>
      <w:lang w:val="en-GB"/>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GB"/>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GB"/>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GB"/>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GB"/>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GB"/>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GB"/>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GB"/>
    </w:rPr>
  </w:style>
  <w:style w:type="character" w:styleId="Strong">
    <w:name w:val="Strong"/>
    <w:basedOn w:val="DefaultParagraphFont"/>
    <w:uiPriority w:val="22"/>
    <w:qFormat/>
    <w:rsid w:val="00FC693F"/>
    <w:rPr>
      <w:b/>
      <w:bCs/>
      <w:lang w:val="en-GB"/>
    </w:rPr>
  </w:style>
  <w:style w:type="character" w:styleId="Emphasis">
    <w:name w:val="Emphasis"/>
    <w:basedOn w:val="DefaultParagraphFont"/>
    <w:uiPriority w:val="20"/>
    <w:qFormat/>
    <w:rsid w:val="00FC693F"/>
    <w:rPr>
      <w:i/>
      <w:iCs/>
      <w:lang w:val="en-GB"/>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en-GB"/>
    </w:rPr>
  </w:style>
  <w:style w:type="character" w:customStyle="1" w:styleId="IntenseQuoteChar">
    <w:name w:val="Intense Quote Char"/>
    <w:basedOn w:val="DefaultParagraphFont"/>
    <w:link w:val="IntenseQuote"/>
    <w:uiPriority w:val="30"/>
    <w:rsid w:val="00FC693F"/>
    <w:rPr>
      <w:b/>
      <w:bCs/>
      <w:i/>
      <w:iCs/>
      <w:color w:val="4F81BD" w:themeColor="accent1"/>
      <w:lang w:val="en-GB"/>
    </w:rPr>
  </w:style>
  <w:style w:type="character" w:styleId="SubtleEmphasis">
    <w:name w:val="Subtle Emphasis"/>
    <w:basedOn w:val="DefaultParagraphFont"/>
    <w:uiPriority w:val="19"/>
    <w:qFormat/>
    <w:rsid w:val="00FC693F"/>
    <w:rPr>
      <w:i/>
      <w:iCs/>
      <w:color w:val="808080" w:themeColor="text1" w:themeTint="7F"/>
      <w:lang w:val="en-GB"/>
    </w:rPr>
  </w:style>
  <w:style w:type="character" w:styleId="IntenseEmphasis">
    <w:name w:val="Intense Emphasis"/>
    <w:basedOn w:val="DefaultParagraphFont"/>
    <w:uiPriority w:val="21"/>
    <w:qFormat/>
    <w:rsid w:val="00FC693F"/>
    <w:rPr>
      <w:b/>
      <w:bCs/>
      <w:i/>
      <w:iCs/>
      <w:color w:val="4F81BD" w:themeColor="accent1"/>
      <w:lang w:val="en-GB"/>
    </w:rPr>
  </w:style>
  <w:style w:type="character" w:styleId="SubtleReference">
    <w:name w:val="Subtle Reference"/>
    <w:basedOn w:val="DefaultParagraphFont"/>
    <w:uiPriority w:val="31"/>
    <w:qFormat/>
    <w:rsid w:val="00FC693F"/>
    <w:rPr>
      <w:smallCaps/>
      <w:color w:val="C0504D" w:themeColor="accent2"/>
      <w:u w:val="single"/>
      <w:lang w:val="en-GB"/>
    </w:rPr>
  </w:style>
  <w:style w:type="character" w:styleId="IntenseReference">
    <w:name w:val="Intense Reference"/>
    <w:basedOn w:val="DefaultParagraphFont"/>
    <w:uiPriority w:val="32"/>
    <w:qFormat/>
    <w:rsid w:val="00FC693F"/>
    <w:rPr>
      <w:b/>
      <w:bCs/>
      <w:smallCaps/>
      <w:color w:val="C0504D" w:themeColor="accent2"/>
      <w:spacing w:val="5"/>
      <w:u w:val="single"/>
      <w:lang w:val="en-GB"/>
    </w:rPr>
  </w:style>
  <w:style w:type="character" w:styleId="BookTitle">
    <w:name w:val="Book Title"/>
    <w:basedOn w:val="DefaultParagraphFont"/>
    <w:uiPriority w:val="33"/>
    <w:qFormat/>
    <w:rsid w:val="00FC693F"/>
    <w:rPr>
      <w:b/>
      <w:bCs/>
      <w:smallCaps/>
      <w:spacing w:val="5"/>
      <w:lang w:val="en-GB"/>
    </w:rPr>
  </w:style>
  <w:style w:type="paragraph" w:styleId="TOCHeading">
    <w:name w:val="TOC Heading"/>
    <w:basedOn w:val="Heading1"/>
    <w:next w:val="Normal"/>
    <w:uiPriority w:val="39"/>
    <w:semiHidden/>
    <w:unhideWhenUsed/>
    <w:qFormat/>
    <w:rsid w:val="00FC693F"/>
    <w:pPr>
      <w:outlineLvl w:val="9"/>
    </w:pPr>
    <w:rPr>
      <w:lang w:val="en-GB"/>
    </w:rPr>
  </w:style>
  <w:style w:type="table" w:styleId="TableGrid">
    <w:name w:val="Table Grid"/>
    <w:basedOn w:val="TableNormal"/>
    <w:uiPriority w:val="59"/>
    <w:rsid w:val="00FC693F"/>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GB"/>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GB"/>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GB"/>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GB"/>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GB"/>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G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GB"/>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memorandum for the fictional Alken Aurora European Equity Fund</dc:title>
  <dc:subject>Academic scenario and DDQ knowledge base</dc:subject>
  <dc:creator>University project</dc:creator>
  <cp:keywords>SIMULATION; DDQ; fictional fund; synthetic data; AURORA-IM-2026-09</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