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Harbourline Family Office — Short-Form Manager Due Diligence Questionnaire (fictional)</w:t>
      </w:r>
    </w:p>
    <w:p>
      <w:r>
        <w:t>Fund: Alken Aurora European Equity Fund | Please return by 22 October 2026</w:t>
      </w:r>
    </w:p>
    <w:p>
      <w:pPr>
        <w:pStyle w:val="Heading2"/>
      </w:pPr>
      <w:r>
        <w:t>A. Operations</w:t>
      </w:r>
    </w:p>
    <w:p>
      <w:r>
        <w:t>1. Who is the depositary of the fund?</w:t>
      </w:r>
    </w:p>
    <w:p>
      <w:pPr>
        <w:pStyle w:val="Heading2"/>
      </w:pPr>
      <w:r>
        <w:t>B. Fees</w:t>
      </w:r>
    </w:p>
    <w:p>
      <w:r>
        <w:t>2. What is the annual management fee for Class I?</w:t>
      </w:r>
    </w:p>
    <w:p>
      <w:pPr>
        <w:pStyle w:val="Heading2"/>
      </w:pPr>
      <w:r>
        <w:t>C. Dealing</w:t>
      </w:r>
    </w:p>
    <w:p>
      <w:r>
        <w:t>3. How quickly are redemption proceeds paid?</w:t>
      </w:r>
    </w:p>
    <w:p>
      <w:pPr>
        <w:pStyle w:val="Heading2"/>
      </w:pPr>
      <w:r>
        <w:t>D. Cybersecurity</w:t>
      </w:r>
    </w:p>
    <w:p>
      <w:r>
        <w:t>4. Is the firm ISO 27001 certified, or does it have a SOC 2 report?</w:t>
      </w:r>
    </w:p>
    <w:p>
      <w:pPr>
        <w:pStyle w:val="Heading2"/>
      </w:pPr>
      <w:r>
        <w:t>E. Compliance</w:t>
      </w:r>
    </w:p>
    <w:p>
      <w:r>
        <w:t>5. Is there any pending litigation or regulatory investigation involving the fund or the manager?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