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RoadMesh Relatório de alterações</w:t>
      </w:r>
    </w:p>
    <w:p>
      <w:pPr>
        <w:pStyle w:val="Subtitle"/>
      </w:pPr>
      <w:r>
        <w:rPr>
          <w:color w:val="000000"/>
        </w:rPr>
        <w:t>Trabalho realizado evidências de validação e situação da entrega</w:t>
      </w:r>
    </w:p>
    <w:p>
      <w:pPr>
        <w:pStyle w:val="Caption"/>
      </w:pPr>
      <w:r>
        <w:rPr>
          <w:color w:val="000000"/>
        </w:rPr>
        <w:t>Atualizado em 22 de outubro de 2026 • Código 04d5bac</w:t>
      </w:r>
    </w:p>
    <w:p>
      <w:r>
        <w:t>A auditoria acrescentou regras de permissões, rastreabilidade financeira, controlo de stock e encomendas, configurações da oficina, históricos e melhorias de interface. Este relatório consolida o que foi implementado, o que foi testado e o que permanece por verificar, incluindo o acesso único pedido em 22 de outubro.</w:t>
      </w:r>
    </w:p>
    <w:p>
      <w:pPr>
        <w:pStyle w:val="Heading2"/>
      </w:pPr>
      <w:r>
        <w:rPr>
          <w:color w:val="000000"/>
        </w:rPr>
        <w:t>Resultado confirmado</w:t>
      </w:r>
    </w:p>
    <w:p>
      <w:r>
        <w:t>O código das últimas alterações está no commit 04d5bac, na branch codex/roadmesh-auditoria-melhorias. A referência local da branch remota aponta para o mesmo commit. A referência local de main ainda aponta para 8a55d9d; não foi feita uma consulta nova à Vercel nesta atualização documental. A publicação final do código recente não está certificada por este relatório.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488"/>
      </w:tblGrid>
      <w:tr>
        <w:trPr>
          <w:cantSplit/>
          <w:tblHeader/>
        </w:trPr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after="40" w:line="252" w:lineRule="auto"/>
            </w:pPr>
            <w:r>
              <w:rPr>
                <w:b/>
                <w:color w:val="000000"/>
                <w:sz w:val="20"/>
              </w:rPr>
              <w:t>Componente</w:t>
            </w:r>
          </w:p>
        </w:tc>
        <w:tc>
          <w:tcPr>
            <w:tcW w:type="dxa" w:w="74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after="40" w:line="252" w:lineRule="auto"/>
            </w:pPr>
            <w:r>
              <w:rPr>
                <w:b/>
                <w:color w:val="000000"/>
                <w:sz w:val="20"/>
              </w:rPr>
              <w:t>Situação confirmada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Regras e interface</w:t>
            </w:r>
          </w:p>
        </w:tc>
        <w:tc>
          <w:tcPr>
            <w:tcW w:type="dxa" w:w="74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Implementadas no código e verificadas pelos testes documentados.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6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Base de produção</w:t>
            </w:r>
          </w:p>
        </w:tc>
        <w:tc>
          <w:tcPr>
            <w:tcW w:type="dxa" w:w="74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6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Migração 003 aplicada em 21/10; 27 tabelas confirmadas.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Conta admin</w:t>
            </w:r>
          </w:p>
        </w:tc>
        <w:tc>
          <w:tcPr>
            <w:tcW w:type="dxa" w:w="74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Conta existente preservada; acesso e painel testados na API em 21/10.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6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Login único</w:t>
            </w:r>
          </w:p>
        </w:tc>
        <w:tc>
          <w:tcPr>
            <w:tcW w:type="dxa" w:w="74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6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Implementado e testado localmente em 22/10. Commit 04d5bac.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Fotografias</w:t>
            </w:r>
          </w:p>
        </w:tc>
        <w:tc>
          <w:tcPr>
            <w:tcW w:type="dxa" w:w="74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Storage real validado no projeto de testes; configuração de produção por confirmar.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6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Email de recuperação</w:t>
            </w:r>
          </w:p>
        </w:tc>
        <w:tc>
          <w:tcPr>
            <w:tcW w:type="dxa" w:w="74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6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Fluxo implementado; SMTP real por configurar e documentado.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Âmbito da entrega</w:t>
      </w:r>
    </w:p>
    <w:p>
      <w:r>
        <w:t>A evolução foi feita sobre a aplicação existente, preservando o modelo de três perfis e a alternativa MongoDB. Não foi feita uma reescrita total. Os detalhes de utilização e operação estão no documento Documentação do projeto, atualizado na mesma data.</w:t>
      </w:r>
    </w:p>
    <w:p>
      <w:r>
        <w:t>Os dados foram identificados pelo titular como dados de teste. As operações na base de produção foram executadas apenas após autorização para continuar; não foi concedida a membership SQL anteriormente recusada.</w:t>
      </w:r>
    </w:p>
    <w:p>
      <w:r>
        <w:br w:type="page"/>
      </w:r>
    </w:p>
    <w:p>
      <w:pPr>
        <w:pStyle w:val="Heading1"/>
      </w:pPr>
      <w:r>
        <w:rPr>
          <w:color w:val="000000"/>
        </w:rPr>
        <w:t>Melhorias de negócio implementadas</w:t>
      </w:r>
    </w:p>
    <w:p>
      <w:pPr>
        <w:pStyle w:val="Heading2"/>
      </w:pPr>
      <w:r>
        <w:rPr>
          <w:color w:val="000000"/>
        </w:rPr>
        <w:t>Configurações preços e trabalho</w:t>
      </w:r>
    </w:p>
    <w:p>
      <w:r>
        <w:t>Foram adicionados preço por hora e IVA por oficina, horas com descrição opcional e conservação do preço histórico nas linhas. A margem passou a poder determinar o preço de venda, usando cálculo decimal e arredondamento. O servidor recusa preços manipulados por utilizadores sem autorização.</w:t>
      </w:r>
    </w:p>
    <w:p>
      <w:r>
        <w:t>A seleção de cliente e viatura passou a usar modais pesquisáveis e validação da relação no servidor. As regras de reabertura e eliminação verificam o responsável, o estado e a existência de documentos. As operações permitidas registam auditoria e efeitos de stock na mesma transação.</w:t>
      </w:r>
    </w:p>
    <w:p>
      <w:pPr>
        <w:pStyle w:val="Heading2"/>
      </w:pPr>
      <w:r>
        <w:rPr>
          <w:color w:val="000000"/>
        </w:rPr>
        <w:t>Fornecedores stock e encomendas</w:t>
      </w:r>
    </w:p>
    <w:p>
      <w:r>
        <w:t>Foram criados registos normalizados de fornecedor e filtragem de catálogo da oficina. O modelo tem um fornecedor por produto. A adição à encomenda reutiliza um rascunho persistente e consolida linhas; a reposição automática cria propostas Por validar, sem as enviar ou validar automaticamente.</w:t>
      </w:r>
    </w:p>
    <w:p>
      <w:r>
        <w:t>Necessidades únicas por produto, índices e transações protegem contra duplicações em pedidos simultâneos. A receção parcial verifica códigos e quantidades, regista utilizador e data e rejeita excessos ou repetições incompatíveis. Repetir uma confirmação válida não soma stock novamente.</w:t>
      </w:r>
    </w:p>
    <w:p>
      <w:pPr>
        <w:pStyle w:val="Heading2"/>
      </w:pPr>
      <w:r>
        <w:rPr>
          <w:color w:val="000000"/>
        </w:rPr>
        <w:t>Financeiro e rastreabilidade</w:t>
      </w:r>
    </w:p>
    <w:p>
      <w:r>
        <w:t>Foi criado um histórico de cobranças, pagamentos parciais, créditos e estornos. Uma única cobrança por ordem evita dupla dívida entre FT e FR. Os saldos são calculados a partir dos movimentos e não por edição direta de um número. Estornos referenciam pagamentos e respeitam o valor reversível.</w:t>
      </w:r>
    </w:p>
    <w:p>
      <w:r>
        <w:t>As operações guardam ator, data, valor, motivo e referência; chaves de repetição tornam as confirmações idempotentes. Os movimentos financeiros e receções têm proteção contra reescrita. Documentos anteriores não receberam pagamentos inventados e exigem reconciliação explícita.</w:t>
      </w:r>
    </w:p>
    <w:p>
      <w:pPr>
        <w:pStyle w:val="Heading2"/>
      </w:pPr>
      <w:r>
        <w:rPr>
          <w:color w:val="000000"/>
        </w:rPr>
        <w:t>Históricos</w:t>
      </w:r>
    </w:p>
    <w:p>
      <w:r>
        <w:t>Foram acrescentadas paginação e seleção anual para stock, encomendas, receções, ordens, orçamentos, documentos, fotografias, danos e movimentos financeiros autorizados. Os anos respeitam Europe/Lisbon. A navegação mantém filtros de sessão e limpa o contexto quando muda a conta ou a oficina de suporte.</w:t>
      </w:r>
    </w:p>
    <w:p>
      <w:r>
        <w:br w:type="page"/>
      </w:r>
    </w:p>
    <w:p>
      <w:pPr>
        <w:pStyle w:val="Heading1"/>
      </w:pPr>
      <w:r>
        <w:rPr>
          <w:color w:val="000000"/>
        </w:rPr>
        <w:t>Segurança dados e administração</w:t>
      </w:r>
    </w:p>
    <w:p>
      <w:pPr>
        <w:pStyle w:val="Heading2"/>
      </w:pPr>
      <w:r>
        <w:rPr>
          <w:color w:val="000000"/>
        </w:rPr>
        <w:t>Permissões verificadas na API</w:t>
      </w:r>
    </w:p>
    <w:p>
      <w:r>
        <w:t>As restrições passaram a verificar o papel e a oficina no servidor, incluindo preços, stock manual, receções, financeiro, reabertura e eliminação. O portal limita os dados ao cliente. Pedidos manipulados não obtêm autorização por contornarem a interface. O suporte da administração tem contexto validado e auditoria.</w:t>
      </w:r>
    </w:p>
    <w:p>
      <w:r>
        <w:t>A recuperação de acesso usa tokens com digest, expiração e uso único. A alteração de palavra-passe invalida sessões. Foram revistos logs para evitar corpos, query strings e credenciais; os registos de diagnóstico incluem rota, estado, duração e identificador do pedido.</w:t>
      </w:r>
    </w:p>
    <w:p>
      <w:pPr>
        <w:pStyle w:val="Heading2"/>
      </w:pPr>
      <w:r>
        <w:rPr>
          <w:color w:val="000000"/>
        </w:rPr>
        <w:t>Migração e recuperação ensaiadas</w:t>
      </w:r>
    </w:p>
    <w:p>
      <w:r>
        <w:t>O backup inicial tinha 22 tabelas e 406 registos. A cópia atualizada de 21 de outubro tinha 407 registos. O restauro local comparou integralmente as linhas. Um par de clientes duplicados impedia os índices únicos; o cliente mantido tinha a viatura e o redundante não tinha referências externas.</w:t>
      </w:r>
    </w:p>
    <w:p>
      <w:r>
        <w:t>A resolução foi ensaiada com rollback e preservação da linha completa na auditoria. Depois da autorização do titular, a resolução e a migração 003 foram aplicadas numa única transação na produção, com backup adicional sob bloqueio. Confirmaram-se 27 tabelas. A migração opcional 004 e a concessão de membership não foram aplicadas na produção.</w:t>
      </w:r>
    </w:p>
    <w:p>
      <w:pPr>
        <w:pStyle w:val="Heading2"/>
      </w:pPr>
      <w:r>
        <w:rPr>
          <w:color w:val="000000"/>
        </w:rPr>
        <w:t>Administrador pronto a usar</w:t>
      </w:r>
    </w:p>
    <w:p>
      <w:r>
        <w:t>Foi mantida a conta geral@raro-solutions.pt. A palavra-passe foi renovada e guardada apenas num ficheiro privado local excluído do Git. Passaram login, alteração de palavra-passe, identificação, painel e lista de oficinas na API publicada. As sessões usadas para esses testes foram encerradas.</w:t>
      </w:r>
    </w:p>
    <w:p>
      <w:r>
        <w:t>A última mudança de interface permite usar a mesma página /login para essa conta, oficinas e clientes. O estado do papel continua a vir da conta guardada na base e não de um prefixo ou domínio de email. A senha e os segredos do backend não são incluídos nos documentos.</w:t>
      </w:r>
    </w:p>
    <w:p>
      <w:pPr>
        <w:pStyle w:val="Heading2"/>
      </w:pPr>
      <w:r>
        <w:rPr>
          <w:color w:val="000000"/>
        </w:rPr>
        <w:t>Dependências</w:t>
      </w:r>
    </w:p>
    <w:p>
      <w:r>
        <w:t>A auditoria registou atualizações de FastAPI, Starlette, Motor, PyMongo e Pillow. Na consulta efetuada, o runtime Python não apresentou avisos conhecidos. Nas ferramentas Expo/Metro ficaram dois avisos distintos, em node-forge e braces, que continuam a exigir revisão; isto não é uma garantia permanente de ausência de vulnerabilidades.</w:t>
      </w:r>
    </w:p>
    <w:p>
      <w:r>
        <w:br w:type="page"/>
      </w:r>
    </w:p>
    <w:p>
      <w:pPr>
        <w:pStyle w:val="Heading1"/>
      </w:pPr>
      <w:r>
        <w:rPr>
          <w:color w:val="000000"/>
        </w:rPr>
        <w:t>Interface e acesso único</w:t>
      </w:r>
    </w:p>
    <w:p>
      <w:pPr>
        <w:pStyle w:val="Heading2"/>
      </w:pPr>
      <w:r>
        <w:rPr>
          <w:color w:val="000000"/>
        </w:rPr>
        <w:t>Alterações anteriores da interface</w:t>
      </w:r>
    </w:p>
    <w:p>
      <w:r>
        <w:t>Foram ajustadas larguras de formulários, métricas responsivas, áreas de segurança, comportamento do teclado e botões. Estado e Arquivo receberam contraste revisto. A nomenclatura visível passou a usar Ordem de Serviço e Avaliação do Cliente. Logótipo, manifest e identidade RoadMesh foram integrados no frontend.</w:t>
      </w:r>
    </w:p>
    <w:p>
      <w:pPr>
        <w:pStyle w:val="Heading2"/>
      </w:pPr>
      <w:r>
        <w:rPr>
          <w:color w:val="000000"/>
        </w:rPr>
        <w:t>Pedidos de 22 de outubro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rPr>
          <w:cantSplit/>
          <w:tblHeader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after="40" w:line="252" w:lineRule="auto"/>
            </w:pPr>
            <w:r>
              <w:rPr>
                <w:b/>
                <w:color w:val="000000"/>
                <w:sz w:val="20"/>
              </w:rPr>
              <w:t>Pedido</w:t>
            </w:r>
          </w:p>
        </w:tc>
        <w:tc>
          <w:tcPr>
            <w:tcW w:type="dxa" w:w="75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after="40" w:line="252" w:lineRule="auto"/>
            </w:pPr>
            <w:r>
              <w:rPr>
                <w:b/>
                <w:color w:val="000000"/>
                <w:sz w:val="20"/>
              </w:rPr>
              <w:t>Implementação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Favicon branco</w:t>
            </w:r>
          </w:p>
        </w:tc>
        <w:tc>
          <w:tcPr>
            <w:tcW w:type="dxa" w:w="75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Ficheiro próprio roadmesh-favicon.png configurado no Expo web. O logótipo original da aplicação foi preservado.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6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Sem títulos no topo</w:t>
            </w:r>
          </w:p>
        </w:tc>
        <w:tc>
          <w:tcPr>
            <w:tcW w:type="dxa" w:w="75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6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Texto centrado removido de ScreenHeader, componente partilhado pelas páginas. Botões de voltar e ações mantidos.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Uma página de login</w:t>
            </w:r>
          </w:p>
        </w:tc>
        <w:tc>
          <w:tcPr>
            <w:tcW w:type="dxa" w:w="75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AccessLogin comum usa POST /api/auth/login; o servidor devolve o papel autenticado.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6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Reconhecer o tipo de conta</w:t>
            </w:r>
          </w:p>
        </w:tc>
        <w:tc>
          <w:tcPr>
            <w:tcW w:type="dxa" w:w="75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6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Administração abre o painel global; oficina abre o início; cliente abre as marcações. A troca obrigatória de senha tem prioridade.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Endereços antigos</w:t>
            </w:r>
          </w:p>
        </w:tc>
        <w:tc>
          <w:tcPr>
            <w:tcW w:type="dxa" w:w="75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/admin-login e /client-login encaminham para /login. Rotas específicas da API mantidas para compatibilidade.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Verificação da alteração</w:t>
      </w:r>
    </w:p>
    <w:p>
      <w:r>
        <w:t>Cinco testes de integração passaram numa base PostgreSQL local descartável. Cobriram os três perfis, credenciais inválidas, igualdade da mensagem de erro para conta inexistente, troca de palavra-passe temporária e recusa de acesso a áreas de outros perfis. Foi incluída a regressão existente de isolamento do portal.</w:t>
      </w:r>
    </w:p>
    <w:p>
      <w:r>
        <w:t>TypeScript, ESLint, Ruff e a exportação web passaram. A inspeção no navegador confirmou um único formulário, sem título centrado no topo. O executor local PostgreSQL passou a respeitar TMPDIR para usar uma pasta temporária autorizada. Não foram usadas contas da produção para estes testes.</w:t>
      </w:r>
    </w:p>
    <w:p>
      <w:pPr>
        <w:pStyle w:val="Heading2"/>
      </w:pPr>
      <w:r>
        <w:rPr>
          <w:color w:val="000000"/>
        </w:rPr>
        <w:t>Publicação compatível</w:t>
      </w:r>
    </w:p>
    <w:p>
      <w:r>
        <w:t>O frontend antigo pode continuar a usar as rotas específicas com o backend novo. O frontend novo precisa do backend novo para autenticar administrador e cliente no endpoint comum. A publicação deve por isso confirmar primeiro o backend e depois o frontend.</w:t>
      </w:r>
    </w:p>
    <w:p>
      <w:r>
        <w:br w:type="page"/>
      </w:r>
    </w:p>
    <w:p>
      <w:pPr>
        <w:pStyle w:val="Heading1"/>
      </w:pPr>
      <w:r>
        <w:rPr>
          <w:color w:val="000000"/>
        </w:rPr>
        <w:t>Evidências e trabalho restante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after="40" w:line="252" w:lineRule="auto"/>
            </w:pPr>
            <w:r>
              <w:rPr>
                <w:b/>
                <w:color w:val="000000"/>
                <w:sz w:val="20"/>
              </w:rPr>
              <w:t>Validação</w:t>
            </w:r>
          </w:p>
        </w:tc>
        <w:tc>
          <w:tcPr>
            <w:tcW w:type="dxa" w:w="70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after="40" w:line="252" w:lineRule="auto"/>
            </w:pPr>
            <w:r>
              <w:rPr>
                <w:b/>
                <w:color w:val="000000"/>
                <w:sz w:val="20"/>
              </w:rPr>
              <w:t>Resultado documentado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PostgreSQL local inicial</w:t>
            </w:r>
          </w:p>
        </w:tc>
        <w:tc>
          <w:tcPr>
            <w:tcW w:type="dxa" w:w="70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89 aprovados e 2 omitidos.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6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MongoDB local inicial</w:t>
            </w:r>
          </w:p>
        </w:tc>
        <w:tc>
          <w:tcPr>
            <w:tcW w:type="dxa" w:w="70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6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80 aprovados e 11 omitidos.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Sessão e margem em Node</w:t>
            </w:r>
          </w:p>
        </w:tc>
        <w:tc>
          <w:tcPr>
            <w:tcW w:type="dxa" w:w="70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10 testes aprovados.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6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Supabase PostgreSQL real</w:t>
            </w:r>
          </w:p>
        </w:tc>
        <w:tc>
          <w:tcPr>
            <w:tcW w:type="dxa" w:w="70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6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97 aprovados e 2 exclusivos de MongoDB omitidos. Teste de SET ROLE excluído por decisão do titular.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Fotografias com Storage real</w:t>
            </w:r>
          </w:p>
        </w:tc>
        <w:tc>
          <w:tcPr>
            <w:tcW w:type="dxa" w:w="70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3 testes adicionais de API aprovados, incluindo isolamento de oficina e rejeição de ficheiros inválidos.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6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Guardas dos executores</w:t>
            </w:r>
          </w:p>
        </w:tc>
        <w:tc>
          <w:tcPr>
            <w:tcW w:type="dxa" w:w="70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6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15 testes unitários aprovados.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Login único em 22/10</w:t>
            </w:r>
          </w:p>
        </w:tc>
        <w:tc>
          <w:tcPr>
            <w:tcW w:type="dxa" w:w="70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5 testes de integração aprovados; tipagem, lint e exportação aprovados.</w:t>
            </w:r>
          </w:p>
        </w:tc>
      </w:tr>
    </w:tbl>
    <w:p>
      <w:pPr>
        <w:spacing w:after="20"/>
      </w:pPr>
    </w:p>
    <w:p>
      <w:r>
        <w:t>São execuções de datas e ambientes diferentes, com cobertura sobreposta. As contagens não representam uma única suite acumulada. O staging teve 27 tabelas e 1 358 registos num snapshot restaurado e comparado; o snapshot não inclui os bytes externos das fotografias.</w:t>
      </w:r>
    </w:p>
    <w:p>
      <w:pPr>
        <w:pStyle w:val="Heading2"/>
      </w:pPr>
      <w:r>
        <w:rPr>
          <w:color w:val="000000"/>
        </w:rPr>
        <w:t>Confirmar antes de dar a publicação por concluída</w:t>
      </w:r>
    </w:p>
    <w:p>
      <w:r>
        <w:t>Integrar a branch na main usada pela Vercel e confirmar o commit e o estado Ready do backend e frontend. Validar login único e encaminhamento dos três perfis, permissões, stock, financeiro e fotografias na produção. Commit e push não comprovam que o deploy arrancou ou terminou.</w:t>
      </w:r>
    </w:p>
    <w:p>
      <w:r>
        <w:t>A configuração de fotografias de produção continua por verificar. O bucket validado pertence ao RoadMesh-Testes. O serviço SMTP real continua por configurar, conforme decisão do titular. Faltam testes físicos de iPhone/Safari/PWA e leitores, carga representativa e validação do pooler de transações.</w:t>
      </w:r>
    </w:p>
    <w:p>
      <w:pPr>
        <w:pStyle w:val="Heading2"/>
      </w:pPr>
      <w:r>
        <w:rPr>
          <w:color w:val="000000"/>
        </w:rPr>
        <w:t>Incidente do fornecedor</w:t>
      </w:r>
    </w:p>
    <w:p>
      <w:r>
        <w:t>Na consulta de 22 de outubro, o Supabase indicava mitigação aplicada e monitorização de incidentes na Management API. O aviso foi tratado como contexto operacional do fornecedor, sem atribuir uma falha de base de dados à RoadMesh. Rever o estado em https://status.supabase.com e os logs antes de alterar a infraestrutura.</w:t>
      </w:r>
    </w:p>
    <w:p>
      <w:pPr>
        <w:pStyle w:val="Heading2"/>
      </w:pPr>
      <w:r>
        <w:rPr>
          <w:color w:val="000000"/>
        </w:rPr>
        <w:t>Rastreabilidade</w:t>
      </w:r>
    </w:p>
    <w:p>
      <w:r>
        <w:t>Evidências no repositório: login-unificado.json, migracao-producao.json, acesso-admin.json, validacao-supabase.json e relatórios de Storage/restauro em docs/evidencias. Procedimentos em docs/PUBLICAR.md. Credenciais, snapshots completos e logs privados permanecem fora do Git.</w:t>
      </w:r>
    </w:p>
    <w:sectPr w:rsidR="00FC693F" w:rsidRPr="0006063C" w:rsidSect="00034616">
      <w:footerReference w:type="default" r:id="rId9"/>
      <w:pgSz w:w="12240" w:h="15840"/>
      <w:pgMar w:top="1037" w:right="1152" w:bottom="979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RoadMesh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before="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RoadMesh Relatório de alterações</dc:title>
  <dc:subject>Trabalho realizado evidências de validação e situação da entrega</dc:subject>
  <dc:creator>RoadMesh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