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00000"/>
        </w:rPr>
        <w:t>RoadMesh Documentação do projeto</w:t>
      </w:r>
    </w:p>
    <w:p>
      <w:pPr>
        <w:pStyle w:val="Subtitle"/>
      </w:pPr>
      <w:r>
        <w:rPr>
          <w:color w:val="000000"/>
        </w:rPr>
        <w:t>Funcionamento da aplicação e procedimentos de operação</w:t>
      </w:r>
    </w:p>
    <w:p>
      <w:pPr>
        <w:pStyle w:val="Caption"/>
      </w:pPr>
      <w:r>
        <w:rPr>
          <w:color w:val="000000"/>
        </w:rPr>
        <w:t>Atualizado em 22 de outubro de 2026 • Código 04d5bac</w:t>
      </w:r>
    </w:p>
    <w:p>
      <w:r>
        <w:t>A RoadMesh reúne a gestão de oficinas, clientes e viaturas numa plataforma com três áreas de acesso. Este documento explica como utilizar e operar a versão que inclui as melhorias de negócio e o login único. O relatório de alterações acompanha esta documentação e identifica os testes e os limites da validação.</w:t>
      </w:r>
    </w:p>
    <w:p>
      <w:pPr>
        <w:pStyle w:val="Heading2"/>
      </w:pPr>
      <w:r>
        <w:rPr>
          <w:color w:val="000000"/>
        </w:rPr>
        <w:t>Estado da versão</w:t>
      </w:r>
    </w:p>
    <w:p>
      <w:r>
        <w:t>O código está guardado no commit 04d5bac, na branch codex/roadmesh-auditoria-melhorias. A migração 003 foi aplicada à base de produção em 21 de outubro, ficando confirmadas 27 tabelas. A conta de administrador existente foi preparada e testada na API publicada nessa data. A publicação do código mais recente na Vercel ainda precisa de confirmação; um commit enviado não comprova um deployment concluído.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8136"/>
      </w:tblGrid>
      <w:tr>
        <w:trPr>
          <w:cantSplit/>
          <w:tblHeader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Área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Utilizadores e finalidade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Administração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Gestão global das oficinas e dos acessos, bloqueio e arquivo, suporte auditado.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Oficina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Responsável e colaboradores gerem clientes, viaturas, trabalho e inventário de acordo com as suas permissões.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Cliente</w:t>
            </w:r>
          </w:p>
        </w:tc>
        <w:tc>
          <w:tcPr>
            <w:tcW w:type="dxa" w:w="813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Consulta dos próprios carros, marcações e informação disponibilizada pela oficina.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Como começar</w:t>
      </w:r>
    </w:p>
    <w:p>
      <w:r>
        <w:t>Todos entram pelo mesmo formulário em /login, usando email e palavra-passe. O servidor identifica o papel da conta e abre a área correta. Uma palavra-passe temporária obriga à sua alteração antes de continuar. Não existe registo público livre: a administração cria as oficinas e um operador autorizado cria os restantes acessos.</w:t>
      </w:r>
    </w:p>
    <w:p>
      <w:r>
        <w:t>O endereço conhecido do frontend é https://roadmesh-app-frontend.vercel.app/login. A conta de administração é geral@raro-solutions.pt. A palavra-passe não consta deste documento e deve ser consultada apenas no ficheiro privado de acesso.</w:t>
      </w:r>
    </w:p>
    <w:p>
      <w:r>
        <w:br w:type="page"/>
      </w:r>
    </w:p>
    <w:p>
      <w:pPr>
        <w:pStyle w:val="Heading1"/>
      </w:pPr>
      <w:r>
        <w:rPr>
          <w:color w:val="000000"/>
        </w:rPr>
        <w:t>Arquitetura e configuração</w:t>
      </w:r>
    </w:p>
    <w:p>
      <w:r>
        <w:t>O frontend Expo Router comunica com a API FastAPI em /api. A API autentica os utilizadores, verifica o papel e a oficina e executa as regras de negócio. PostgreSQL no Supabase guarda os registos no esquema privado roadmesh. O MongoDB continua disponível como alternativa local ou legada, sem sincronização entre os dois motores.</w:t>
      </w:r>
    </w:p>
    <w:p>
      <w:r>
        <w:t>A aplicação usa autenticação própria com bcrypt e JWT. Os utilizadores ficam em roadmesh.users; não são automaticamente criadas contas no Supabase Authentication. As permissões são verificadas no servidor e não resultam do domínio do email ou de uma opção escolhida no formulário.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96"/>
        <w:gridCol w:w="6840"/>
      </w:tblGrid>
      <w:tr>
        <w:trPr>
          <w:cantSplit/>
          <w:tblHeader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Configuração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Utilização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DATABASE_URL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Backend. Ligação PostgreSQL privada com TLS; quando preenchida seleciona este motor.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JWT_SECRET e BOOTSTRAP_ADMIN_*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Backend. Assinatura das sessões e provisionamento inicial da administração.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CORS_ORIGINS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Backend. Origens exatas dos frontends autorizados.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EXPO_PUBLIC_BACKEND_URL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Frontend no build. Origem da API, sem /api no fim.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STORAGE_DRIVER e SUPABASE_*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Backend. Escolha do fornecedor e acesso privado às fotografias.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SMTP_* e PASSWORD_RESET_URL</w:t>
            </w:r>
          </w:p>
        </w:tc>
        <w:tc>
          <w:tcPr>
            <w:tcW w:type="dxa" w:w="684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Backend. Envio de recuperação e destino do link de alteração.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Organização do código</w:t>
      </w:r>
    </w:p>
    <w:p>
      <w:r>
        <w:t>As regras monetárias e de identificação estão em business_rules.py; as operações de stock e financeiro, em operations.py. history_routes.py trata os históricos, password_recovery.py a recuperação e media_storage.py os ficheiros. O frontend partilha autenticação, navegação, cabeçalhos e componentes de formulários.</w:t>
      </w:r>
    </w:p>
    <w:p>
      <w:pPr>
        <w:pStyle w:val="Heading2"/>
      </w:pPr>
      <w:r>
        <w:rPr>
          <w:color w:val="000000"/>
        </w:rPr>
        <w:t>Ambientes separados</w:t>
      </w:r>
    </w:p>
    <w:p>
      <w:r>
        <w:t>RoadMesh é o projeto de produção; RoadMesh-Testes é o projeto separado de validação. As ligações e chaves não devem ser trocadas entre ambientes. Ficheiros .env, credenciais, backups e logs privados ficam fora do Git. Variáveis EXPO_PUBLIC_* entram no bundle e nunca devem conter segredos.</w:t>
      </w:r>
    </w:p>
    <w:p>
      <w:r>
        <w:br w:type="page"/>
      </w:r>
    </w:p>
    <w:p>
      <w:pPr>
        <w:pStyle w:val="Heading1"/>
      </w:pPr>
      <w:r>
        <w:rPr>
          <w:color w:val="000000"/>
        </w:rPr>
        <w:t>Utilização e regras de negócio</w:t>
      </w:r>
    </w:p>
    <w:p>
      <w:pPr>
        <w:pStyle w:val="Heading2"/>
      </w:pPr>
      <w:r>
        <w:rPr>
          <w:color w:val="000000"/>
        </w:rPr>
        <w:t>Clientes e viaturas</w:t>
      </w:r>
    </w:p>
    <w:p>
      <w:r>
        <w:t>Criar o cliente e associar-lhe as viaturas. Na criação de um trabalho, os modais permitem pesquisar o cliente e escolher apenas uma viatura desse cliente. Mudar o cliente limpa a seleção anterior. A API volta a verificar a relação, mesmo quando o pedido é manipulado fora da interface.</w:t>
      </w:r>
    </w:p>
    <w:p>
      <w:r>
        <w:t>NIF, matrícula, VIN, referência, código de barras e email são normalizados segundo a entidade. Índices e validações evitam duplicados dentro do âmbito correto. Partilhar um nome ou telefone, por si só, não impede criar um cliente legítimo.</w:t>
      </w:r>
    </w:p>
    <w:p>
      <w:pPr>
        <w:pStyle w:val="Heading2"/>
      </w:pPr>
      <w:r>
        <w:rPr>
          <w:color w:val="000000"/>
        </w:rPr>
        <w:t>Ordens de serviço e orçamentos</w:t>
      </w:r>
    </w:p>
    <w:p>
      <w:r>
        <w:t>O responsável define o preço por hora e o IVA em Mais e Configurações da oficina. Nos trabalhos, a quantidade indica horas e a descrição da mão de obra é opcional. Cada linha conserva o preço aplicado; mudar a configuração não recalcula documentos antigos. Os colaboradores usam preços autorizados do catálogo e da configuração.</w:t>
      </w:r>
    </w:p>
    <w:p>
      <w:r>
        <w:t>Reabrir uma ordem concluída e eliminar fora do estado Entrada exige responsável. Ordens com documentos emitidos ficam protegidas. As alterações de estado registam estado anterior, seguinte, utilizador e data. Uma eliminação permitida preserva um snapshot na auditoria e repõe o stock na mesma transação.</w:t>
      </w:r>
    </w:p>
    <w:p>
      <w:pPr>
        <w:pStyle w:val="Heading2"/>
      </w:pPr>
      <w:r>
        <w:rPr>
          <w:color w:val="000000"/>
        </w:rPr>
        <w:t>Margem e histórico</w:t>
      </w:r>
    </w:p>
    <w:p>
      <w:r>
        <w:t>A margem incide no preço de venda. Para um custo de 80 euros e margem de 20%, o preço de venda sem IVA é 100 euros. O cálculo divide o custo por 1 menos a margem em percentagem; aceita valores inferiores a 100% e arredonda aos cêntimos.</w:t>
      </w:r>
    </w:p>
    <w:p>
      <w:r>
        <w:t>Os históricos apresentam stock, encomendas, receções, ordens, orçamentos, documentos, fotografias, danos e movimentos financeiros autorizados. Há paginação e filtros anuais com limites de ano em Europe/Lisbon. A navegação mantém filtros durante a sessão e limpa o contexto ao mudar de conta ou oficina de suporte.</w:t>
      </w:r>
    </w:p>
    <w:p>
      <w:pPr>
        <w:pStyle w:val="Heading2"/>
      </w:pPr>
      <w:r>
        <w:rPr>
          <w:color w:val="000000"/>
        </w:rPr>
        <w:t>Apresentação</w:t>
      </w:r>
    </w:p>
    <w:p>
      <w:r>
        <w:t>O favicon web tem fundo branco. Os títulos centrados nos cabeçalhos foram retirados pelo componente comum, preservando voltar e ações. Os formulários têm largura limitada no desktop, áreas de segurança e tratamento do teclado em dispositivos móveis.</w:t>
      </w:r>
    </w:p>
    <w:p>
      <w:r>
        <w:br w:type="page"/>
      </w:r>
    </w:p>
    <w:p>
      <w:pPr>
        <w:pStyle w:val="Heading1"/>
      </w:pPr>
      <w:r>
        <w:rPr>
          <w:color w:val="000000"/>
        </w:rPr>
        <w:t>Stock encomendas e financeiro</w:t>
      </w:r>
    </w:p>
    <w:p>
      <w:pPr>
        <w:pStyle w:val="Heading2"/>
      </w:pPr>
      <w:r>
        <w:rPr>
          <w:color w:val="000000"/>
        </w:rPr>
        <w:t>Encomendas e reposição</w:t>
      </w:r>
    </w:p>
    <w:p>
      <w:r>
        <w:t>Cada produto pertence a um fornecedor no modelo atual. Adicionar à encomenda cria ou reutiliza um rascunho persistente desse fornecedor e consolida o produto sem duplicar a linha. O responsável revê quantidades e valida a proposta. Não há envio automático ao fornecedor.</w:t>
      </w:r>
    </w:p>
    <w:p>
      <w:r>
        <w:t>Com reposição automática ativa, atingir o mínimo cria uma proposta Por validar ou reutiliza a necessidade já aberta. A sugestão procura repor até duas vezes o mínimo, arredondada para unidades inteiras e com pelo menos uma unidade. Índices, transações e chaves de repetição impedem propostas duplicadas em pedidos concorrentes.</w:t>
      </w:r>
    </w:p>
    <w:p>
      <w:r>
        <w:t>A receção pode ser parcial. O sistema verifica produto, código, quantidade e repetição antes de somar stock. Regista ator, data e itens recebidos. Repetir a mesma confirmação não duplica o movimento. Produtos com encomendas abertas não podem mudar de fornecedor sem resolver essas relações.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  <w:gridCol w:w="7056"/>
      </w:tblGrid>
      <w:tr>
        <w:trPr>
          <w:cantSplit/>
          <w:tblHeader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Estado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E8EDF2"/>
          </w:tcPr>
          <w:p>
            <w:pPr>
              <w:spacing w:after="40" w:line="252" w:lineRule="auto"/>
            </w:pPr>
            <w:r>
              <w:rPr>
                <w:b/>
                <w:color w:val="000000"/>
                <w:sz w:val="20"/>
              </w:rPr>
              <w:t>Significado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Rascunho ou Por validar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Proposta editável que ainda exige validação.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Pendente ou Parcial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5F6F8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Encomenda validada, sem receção completa.</w:t>
            </w:r>
          </w:p>
        </w:tc>
      </w:tr>
      <w:tr>
        <w:trPr>
          <w:cantSplit/>
        </w:trPr>
        <w:tc>
          <w:tcPr>
            <w:tcW w:type="dxa" w:w="288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Recebida ou Cancelada</w:t>
            </w:r>
          </w:p>
        </w:tc>
        <w:tc>
          <w:tcPr>
            <w:tcW w:type="dxa" w:w="7056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  <w:shd w:fill="FFFFFF"/>
          </w:tcPr>
          <w:p>
            <w:pPr>
              <w:spacing w:after="40" w:line="252" w:lineRule="auto"/>
            </w:pPr>
            <w:r>
              <w:rPr>
                <w:b w:val="0"/>
                <w:color w:val="000000"/>
                <w:sz w:val="20"/>
              </w:rPr>
              <w:t>Receção concluída ou cancelamento registado.</w:t>
            </w:r>
          </w:p>
        </w:tc>
      </w:tr>
    </w:tbl>
    <w:p>
      <w:pPr>
        <w:spacing w:after="20"/>
      </w:pPr>
    </w:p>
    <w:p>
      <w:pPr>
        <w:pStyle w:val="Heading2"/>
      </w:pPr>
      <w:r>
        <w:rPr>
          <w:color w:val="000000"/>
        </w:rPr>
        <w:t>Saldos derivados de movimentos</w:t>
      </w:r>
    </w:p>
    <w:p>
      <w:r>
        <w:t>O saldo não é editado diretamente. Cobranças, pagamentos parciais, créditos internos e estornos compõem o livro financeiro, com ator, data, valor e referências. Uma FT e uma FR da mesma ordem não duplicam a cobrança. Um estorno referencia o pagamento e não pode ultrapassar o valor reversível.</w:t>
      </w:r>
    </w:p>
    <w:p>
      <w:r>
        <w:t>O pendente corresponde a cobranças menos créditos e pagamentos líquidos. Valores a devolver são apresentados separadamente. A repetição da mesma operação com a mesma chave não altera o resultado; a mesma chave com dados diferentes é recusada. Os documentos antigos exigem reconciliação explícita, sem inventar pagamentos passados.</w:t>
      </w:r>
    </w:p>
    <w:p>
      <w:r>
        <w:t>Os documentos são internos e não têm certificação fiscal. O recebido líquido é um indicador operacional e não representa o saldo de uma conta bancária.</w:t>
      </w:r>
    </w:p>
    <w:p>
      <w:r>
        <w:br w:type="page"/>
      </w:r>
    </w:p>
    <w:p>
      <w:pPr>
        <w:pStyle w:val="Heading1"/>
      </w:pPr>
      <w:r>
        <w:rPr>
          <w:color w:val="000000"/>
        </w:rPr>
        <w:t>Segurança fotografias e recuperação</w:t>
      </w:r>
    </w:p>
    <w:p>
      <w:pPr>
        <w:pStyle w:val="Heading2"/>
      </w:pPr>
      <w:r>
        <w:rPr>
          <w:color w:val="000000"/>
        </w:rPr>
        <w:t>Permissões por oficina</w:t>
      </w:r>
    </w:p>
    <w:p>
      <w:r>
        <w:t>O responsável é designado pela oficina. Colaboradores podem executar trabalho corrente, mas não alterar preços, configurar valores, confirmar pagamentos ou validar receções sem a autorização exigida. A API limita consultas e alterações à oficina autenticada. O cliente só recebe informação do seu próprio portal.</w:t>
      </w:r>
    </w:p>
    <w:p>
      <w:r>
        <w:t>A administração usa um contexto de suporte validado e auditado para atuar na área operacional de uma oficina. O esquema SQL permanece privado, com RLS e sem acesso direto das contas públicas. O papel SQL opcional roadmesh_runtime não recebeu a concessão recusada pelo titular; não se deve presumir que foi ativado na produção.</w:t>
      </w:r>
    </w:p>
    <w:p>
      <w:pPr>
        <w:pStyle w:val="Heading2"/>
      </w:pPr>
      <w:r>
        <w:rPr>
          <w:color w:val="000000"/>
        </w:rPr>
        <w:t>Onde ficam as fotografias</w:t>
      </w:r>
    </w:p>
    <w:p>
      <w:r>
        <w:t>A base guarda metadados e referências. Os ficheiros são guardados no fornecedor de armazenamento configurado. Supabase Storage permite um bucket privado; local destina-se a armazenamento persistente local e não ao disco efémero da Vercel. A mudança de fornecedor não migra ficheiros existentes automaticamente.</w:t>
      </w:r>
    </w:p>
    <w:p>
      <w:r>
        <w:t>No RoadMesh-Testes foi validado o bucket privado roadmesh-media, limitado a JPEG e 10 MB. Houve envio, leitura autenticada, recusa de acesso público e testes de isolamento entre oficinas. Esta validação não confirma a configuração do fornecedor em produção. Uma cópia da base sem os bytes dos ficheiros não constitui um backup completo das fotografias.</w:t>
      </w:r>
    </w:p>
    <w:p>
      <w:pPr>
        <w:pStyle w:val="Heading2"/>
      </w:pPr>
      <w:r>
        <w:rPr>
          <w:color w:val="000000"/>
        </w:rPr>
        <w:t>Recuperação de palavra passe</w:t>
      </w:r>
    </w:p>
    <w:p>
      <w:r>
        <w:t>A recuperação usa tokens aleatórios, de uso único e com prazo de 20 minutos; o servidor guarda apenas o digest. Uma alteração invalida sessões anteriores. O envio real continua por configurar, conforme decisão do titular de deixar o procedimento documentado.</w:t>
      </w:r>
    </w:p>
    <w:p>
      <w:r>
        <w:t>Para ativar, contratar ou escolher SMTP, autorizar o remetente e configurar SMTP_HOST, SMTP_PORT, SMTP_USERNAME, SMTP_PASSWORD, SMTP_FROM e PASSWORD_RESET_URL no backend. Usar a URL HTTPS do frontend com /reset-password. Depois publicar o backend e testar entrega, expiração, reutilização do link e invalidação de sessões.</w:t>
      </w:r>
    </w:p>
    <w:p>
      <w:pPr>
        <w:pStyle w:val="Heading2"/>
      </w:pPr>
      <w:r>
        <w:rPr>
          <w:color w:val="000000"/>
        </w:rPr>
        <w:t>Leitura de códigos</w:t>
      </w:r>
    </w:p>
    <w:p>
      <w:r>
        <w:t>Leitores USB ou Bluetooth podem funcionar como teclado. A câmara web requer HTTPS, permissão e suporte do navegador. Identificar o produto não confirma a receção. Mantém-se entrada manual quando a câmara não é suportada.</w:t>
      </w:r>
    </w:p>
    <w:p>
      <w:r>
        <w:br w:type="page"/>
      </w:r>
    </w:p>
    <w:p>
      <w:pPr>
        <w:pStyle w:val="Heading1"/>
      </w:pPr>
      <w:r>
        <w:rPr>
          <w:color w:val="000000"/>
        </w:rPr>
        <w:t>Publicação operação e validação</w:t>
      </w:r>
    </w:p>
    <w:p>
      <w:pPr>
        <w:pStyle w:val="Heading2"/>
      </w:pPr>
      <w:r>
        <w:rPr>
          <w:color w:val="000000"/>
        </w:rPr>
        <w:t>Publicar uma alteração</w:t>
      </w:r>
    </w:p>
    <w:p>
      <w:r>
        <w:t>Guardar as alterações na branch, enviar para origin e integrar na main usada pela Vercel. O commit mais recente confirmado é 04d5bac. Publicar primeiro o backend com o login comum e depois o frontend. Confirmar que os dois deployments estão Ready e correspondem ao commit pretendido; redeploy de um commit antigo não publica código novo.</w:t>
      </w:r>
    </w:p>
    <w:p>
      <w:r>
        <w:t>Após a publicação, testar /api/, entrada dos três perfis pelo formulário único, encaminhamento, mudança de palavra-passe temporária e recusa de acesso a outras áreas. Verificar ainda criação de trabalho, alteração de stock, encomenda, receção, pagamento e envio/leitura de fotografia na configuração de produção.</w:t>
      </w:r>
    </w:p>
    <w:p>
      <w:pPr>
        <w:pStyle w:val="Heading2"/>
      </w:pPr>
      <w:r>
        <w:rPr>
          <w:color w:val="000000"/>
        </w:rPr>
        <w:t>Backups e recuperação</w:t>
      </w:r>
    </w:p>
    <w:p>
      <w:r>
        <w:t>A produção foi exportada com 22 tabelas e 407 registos antes da migração, e essa cópia foi restaurada e comparada localmente. A resolução do único cliente redundante e a migração 003 foram aplicadas atomicamente em 21 de outubro, com novo backup sob bloqueio e preservação integral da linha na auditoria. Um snapshot posterior confirmou 27 tabelas e 408 registos naquele momento.</w:t>
      </w:r>
    </w:p>
    <w:p>
      <w:r>
        <w:t>Os snapshots documentados cobrem o esquema RoadMesh. Não incluem automaticamente outros esquemas, configurações ou ficheiros do bucket. Guardar uma cópia privada fora deste computador e testar o restauro numa base separada. Nunca executar a suite de testes contra produção.</w:t>
      </w:r>
    </w:p>
    <w:p>
      <w:pPr>
        <w:pStyle w:val="Heading2"/>
      </w:pPr>
      <w:r>
        <w:rPr>
          <w:color w:val="000000"/>
        </w:rPr>
        <w:t>Validação e limites</w:t>
      </w:r>
    </w:p>
    <w:p>
      <w:r>
        <w:t>Foram aprovados 97 testes na base Supabase de testes, mais 3 testes da API com Storage real. A alteração do login teve 5 testes de integração locais, além de tipagem, análise de código e exportação web. Os conjuntos ocorreram em momentos e ambientes diferentes e não devem ser somados como uma única suite.</w:t>
      </w:r>
    </w:p>
    <w:p>
      <w:r>
        <w:t>Falta confirmar o deployment final, fotografias de produção, carga representativa, pooler de transações e testes físicos em iPhone, Safari/PWA e leitores. Os dois avisos de ferramentas Expo/Metro identificados na auditoria anterior devem ser revistos antes de uma release alargada.</w:t>
      </w:r>
    </w:p>
    <w:p>
      <w:pPr>
        <w:pStyle w:val="Heading2"/>
      </w:pPr>
      <w:r>
        <w:rPr>
          <w:color w:val="000000"/>
        </w:rPr>
        <w:t>Acompanhar incidentes</w:t>
      </w:r>
    </w:p>
    <w:p>
      <w:r>
        <w:t>O aviso Supabase consultado em 22 de outubro dizia respeito à Management API e a operações de gestão de projetos; a mitigação estava aplicada e sob monitorização. Esse aviso não comprova uma falha de PostgreSQL da RoadMesh. Consultar https://status.supabase.com e os logs da Vercel antes de alterar configurações.</w:t>
      </w:r>
    </w:p>
    <w:p>
      <w:r>
        <w:t>Referências técnicas do repositório: docs/PROJETO.md, docs/ALTERACOES.md, docs/PUBLICAR.md e docs/evidencias. Este documento não contém palavras-passe, tokens ou ligações privadas à base.</w:t>
      </w:r>
    </w:p>
    <w:sectPr w:rsidR="00FC693F" w:rsidRPr="0006063C" w:rsidSect="00034616">
      <w:footerReference w:type="default" r:id="rId9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RoadMesh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4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before="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RoadMesh Documentação do projeto</dc:title>
  <dc:subject>Funcionamento da aplicação e procedimentos de operação</dc:subject>
  <dc:creator>RoadMesh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