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0728" w14:textId="476C2BB7" w:rsidR="006C7DA8" w:rsidRPr="00ED5FE9" w:rsidRDefault="006C7DA8">
      <w:pPr>
        <w:rPr>
          <w:b/>
          <w:bCs/>
          <w:sz w:val="26"/>
          <w:szCs w:val="26"/>
        </w:rPr>
      </w:pPr>
      <w:bookmarkStart w:id="0" w:name="_Hlk175332742"/>
      <w:r w:rsidRPr="00ED5FE9">
        <w:rPr>
          <w:b/>
          <w:bCs/>
          <w:sz w:val="26"/>
          <w:szCs w:val="26"/>
        </w:rPr>
        <w:t>Curva</w:t>
      </w:r>
      <w:r w:rsidR="0055658A" w:rsidRPr="00ED5FE9">
        <w:rPr>
          <w:b/>
          <w:bCs/>
          <w:sz w:val="26"/>
          <w:szCs w:val="26"/>
        </w:rPr>
        <w:t>s</w:t>
      </w:r>
      <w:r w:rsidRPr="00ED5FE9">
        <w:rPr>
          <w:b/>
          <w:bCs/>
          <w:sz w:val="26"/>
          <w:szCs w:val="26"/>
        </w:rPr>
        <w:t xml:space="preserve"> de indiferença</w:t>
      </w:r>
    </w:p>
    <w:p w14:paraId="7259841D" w14:textId="7AA24D81" w:rsidR="000646F5" w:rsidRDefault="006C7DA8">
      <w:r>
        <w:rPr>
          <w:b/>
          <w:bCs/>
        </w:rPr>
        <w:t xml:space="preserve"> </w:t>
      </w:r>
      <w:r w:rsidR="0006519E">
        <w:t xml:space="preserve">1. </w:t>
      </w:r>
      <w:r>
        <w:t>Sempre tem inclinação negativa – Senão viola premissa monotonicidade da preferência</w:t>
      </w:r>
      <w:r w:rsidR="0006519E">
        <w:br/>
        <w:t xml:space="preserve"> 2. </w:t>
      </w:r>
      <w:r>
        <w:t xml:space="preserve">Nunca se cruzam </w:t>
      </w:r>
      <w:r w:rsidR="007E75C8">
        <w:t>–</w:t>
      </w:r>
      <w:r>
        <w:t xml:space="preserve"> </w:t>
      </w:r>
      <w:r w:rsidR="007E75C8">
        <w:t>Violaria transitividade e monotonicidade</w:t>
      </w:r>
      <w:r w:rsidR="0055658A">
        <w:br/>
        <w:t xml:space="preserve"> </w:t>
      </w:r>
      <w:r w:rsidR="0006519E">
        <w:t xml:space="preserve">3. </w:t>
      </w:r>
      <w:r w:rsidR="0055658A">
        <w:t>Convexas – Os consumidores preferem ter quantidade mais equilibrada dos 2 bens</w:t>
      </w:r>
      <w:r w:rsidR="0055658A">
        <w:rPr>
          <w:b/>
          <w:bCs/>
        </w:rPr>
        <w:t xml:space="preserve"> </w:t>
      </w:r>
    </w:p>
    <w:bookmarkEnd w:id="0"/>
    <w:p w14:paraId="5BCD3CA7" w14:textId="5EFE076F" w:rsidR="000646F5" w:rsidRPr="00ED5FE9" w:rsidRDefault="000646F5">
      <w:pPr>
        <w:rPr>
          <w:b/>
          <w:bCs/>
          <w:sz w:val="26"/>
          <w:szCs w:val="26"/>
        </w:rPr>
      </w:pPr>
      <w:r w:rsidRPr="00ED5FE9">
        <w:rPr>
          <w:b/>
          <w:bCs/>
          <w:sz w:val="26"/>
          <w:szCs w:val="26"/>
        </w:rPr>
        <w:t>Maximização de utilidade</w:t>
      </w:r>
    </w:p>
    <w:p w14:paraId="48B6E018" w14:textId="77777777" w:rsidR="000D5CFE" w:rsidRDefault="000646F5">
      <w:r>
        <w:rPr>
          <w:b/>
          <w:bCs/>
        </w:rPr>
        <w:t xml:space="preserve">  </w:t>
      </w:r>
      <w:r>
        <w:t>Quando Inclinação da RO (Restrição orçamentária) e da CI (Curva de indiferença) são iguais</w:t>
      </w:r>
      <w:r w:rsidR="000D5CFE">
        <w:t>.</w:t>
      </w:r>
    </w:p>
    <w:p w14:paraId="6E21067D" w14:textId="0B3254FB" w:rsidR="00781825" w:rsidRDefault="000646F5">
      <w:r>
        <w:t xml:space="preserve">  </w:t>
      </w:r>
      <w:r w:rsidR="000D5CFE">
        <w:t xml:space="preserve">  </w:t>
      </w:r>
      <w:r>
        <w:t>Inclinação da RO = Px/Py</w:t>
      </w:r>
      <w:r w:rsidR="000D5CFE">
        <w:br/>
        <w:t xml:space="preserve">    Inclinação da CI = TMS </w:t>
      </w:r>
      <w:r w:rsidR="00781825">
        <w:t>= UmgX/UmgY</w:t>
      </w:r>
    </w:p>
    <w:p w14:paraId="24F2CE38" w14:textId="30F2A6B0" w:rsidR="00781825" w:rsidRDefault="00781825">
      <w:r>
        <w:t xml:space="preserve">    Então maximização ocorre quando:</w:t>
      </w:r>
    </w:p>
    <w:p w14:paraId="67F17CAC" w14:textId="11D7C7D5" w:rsidR="00781825" w:rsidRDefault="00781825">
      <w:r>
        <w:t xml:space="preserve">     Px/Py = UmgX/UmgY</w:t>
      </w:r>
    </w:p>
    <w:p w14:paraId="17B18146" w14:textId="31BB2580" w:rsidR="00781825" w:rsidRPr="00781825" w:rsidRDefault="00781825">
      <w:pPr>
        <w:rPr>
          <w:i/>
          <w:iCs/>
          <w:u w:val="single"/>
        </w:rPr>
      </w:pPr>
      <w:r>
        <w:t xml:space="preserve">    </w:t>
      </w:r>
      <w:r w:rsidRPr="00781825">
        <w:rPr>
          <w:i/>
          <w:iCs/>
          <w:u w:val="single"/>
        </w:rPr>
        <w:t>Exceções:</w:t>
      </w:r>
    </w:p>
    <w:p w14:paraId="0AEDB7F9" w14:textId="6EAE2BE8" w:rsidR="00781825" w:rsidRDefault="00781825">
      <w:r>
        <w:t xml:space="preserve">    - Soluções de canto </w:t>
      </w:r>
    </w:p>
    <w:p w14:paraId="0F3DDE47" w14:textId="11B88690" w:rsidR="00781825" w:rsidRDefault="00781825">
      <w:r>
        <w:rPr>
          <w:noProof/>
        </w:rPr>
        <w:drawing>
          <wp:inline distT="0" distB="0" distL="0" distR="0" wp14:anchorId="670DDECA" wp14:editId="71ACE957">
            <wp:extent cx="2085975" cy="13385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6207" cy="1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067" w14:textId="413373C5" w:rsidR="0079377F" w:rsidRDefault="0079377F"/>
    <w:p w14:paraId="066C00D3" w14:textId="004C6405" w:rsidR="0079377F" w:rsidRPr="00ED5FE9" w:rsidRDefault="0079377F">
      <w:pPr>
        <w:rPr>
          <w:b/>
          <w:bCs/>
          <w:sz w:val="26"/>
          <w:szCs w:val="26"/>
        </w:rPr>
      </w:pPr>
      <w:r w:rsidRPr="00ED5FE9">
        <w:rPr>
          <w:b/>
          <w:bCs/>
          <w:sz w:val="26"/>
          <w:szCs w:val="26"/>
        </w:rPr>
        <w:t>Curvas de demanda do consumidor</w:t>
      </w:r>
    </w:p>
    <w:p w14:paraId="3333CC5D" w14:textId="34AF788E" w:rsidR="00781825" w:rsidRDefault="00F76E08">
      <w:r>
        <w:rPr>
          <w:noProof/>
        </w:rPr>
        <w:drawing>
          <wp:inline distT="0" distB="0" distL="0" distR="0" wp14:anchorId="2E2EB782" wp14:editId="05A20BE8">
            <wp:extent cx="3343275" cy="2055583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29" cy="20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BF0B" w14:textId="5E1897B7" w:rsidR="00F76E08" w:rsidRDefault="00F76E08">
      <w:r>
        <w:t xml:space="preserve">  Mudança de comportamento do consumidor desloca a curva de demanda.</w:t>
      </w:r>
      <w:r>
        <w:br/>
        <w:t xml:space="preserve">  Mudança no preço muda o ponto de equilíbrio para algum ponto diferente do ponto de equilíbrio competitivo.</w:t>
      </w:r>
    </w:p>
    <w:p w14:paraId="7081420F" w14:textId="29D03FF2" w:rsidR="00F76E08" w:rsidRDefault="00F76E08"/>
    <w:p w14:paraId="3532028D" w14:textId="77777777" w:rsidR="00F76E08" w:rsidRDefault="00F76E08"/>
    <w:p w14:paraId="6CA171BD" w14:textId="71B09BA7" w:rsidR="00F84CE3" w:rsidRPr="0055658A" w:rsidRDefault="0079377F">
      <w:r>
        <w:t xml:space="preserve"> </w:t>
      </w:r>
    </w:p>
    <w:sectPr w:rsidR="00F84CE3" w:rsidRPr="0055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E"/>
    <w:rsid w:val="000646F5"/>
    <w:rsid w:val="0006519E"/>
    <w:rsid w:val="000D5CFE"/>
    <w:rsid w:val="0055658A"/>
    <w:rsid w:val="005C1892"/>
    <w:rsid w:val="00601B1A"/>
    <w:rsid w:val="0061232F"/>
    <w:rsid w:val="00636010"/>
    <w:rsid w:val="006C7DA8"/>
    <w:rsid w:val="00781825"/>
    <w:rsid w:val="0079377F"/>
    <w:rsid w:val="007E75C8"/>
    <w:rsid w:val="008D0FFA"/>
    <w:rsid w:val="00A92BCE"/>
    <w:rsid w:val="00B826EB"/>
    <w:rsid w:val="00BF0FFD"/>
    <w:rsid w:val="00CA4FD7"/>
    <w:rsid w:val="00D66516"/>
    <w:rsid w:val="00DE49CF"/>
    <w:rsid w:val="00ED5FE9"/>
    <w:rsid w:val="00F76E08"/>
    <w:rsid w:val="00F8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BE6F"/>
  <w15:chartTrackingRefBased/>
  <w15:docId w15:val="{1BA5A63D-1887-4EA7-BEDA-8543F76C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17</cp:revision>
  <dcterms:created xsi:type="dcterms:W3CDTF">2024-08-21T19:06:00Z</dcterms:created>
  <dcterms:modified xsi:type="dcterms:W3CDTF">2024-08-25T17:07:00Z</dcterms:modified>
</cp:coreProperties>
</file>