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4082"/>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843821" cy="1092327"/>
                <wp:effectExtent l="0" t="0" r="0" b="0"/>
                <wp:docPr id="1" name="image1.png" descr="164762_128275810570009_1762696_n"/>
                <wp:cNvGraphicFramePr/>
                <a:graphic xmlns:a="http://schemas.openxmlformats.org/drawingml/2006/main">
                  <a:graphicData uri="http://schemas.openxmlformats.org/drawingml/2006/picture">
                    <pic:pic xmlns:pic="http://schemas.openxmlformats.org/drawingml/2006/picture">
                      <pic:nvPicPr>
                        <pic:cNvPr id="0" name="image1.png" descr="164762_128275810570009_1762696_n"/>
                        <pic:cNvPicPr/>
                        <pic:nvPr/>
                      </pic:nvPicPr>
                      <pic:blipFill>
                        <a:blip r:embed="rId14"/>
                        <a:srcRect l="0" t="0" r="0" b="0"/>
                        <a:stretch/>
                      </pic:blipFill>
                      <pic:spPr bwMode="auto">
                        <a:xfrm>
                          <a:off x="0" y="0"/>
                          <a:ext cx="843821" cy="109232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6.44pt;height:86.01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pPr>
        <w:pStyle w:val="713"/>
        <w:pBdr/>
        <w:tabs>
          <w:tab w:val="left" w:leader="none" w:pos="1182"/>
          <w:tab w:val="left" w:leader="none" w:pos="1182"/>
          <w:tab w:val="left" w:leader="none" w:pos="1182"/>
          <w:tab w:val="left" w:leader="none" w:pos="1182"/>
          <w:tab w:val="left" w:leader="none" w:pos="1182"/>
        </w:tabs>
        <w:spacing w:before="131" w:line="360" w:lineRule="auto"/>
        <w:ind w:right="1431" w:firstLine="0" w:left="2133"/>
        <w:jc w:val="center"/>
        <w:rPr/>
      </w:pPr>
      <w:r>
        <w:rPr>
          <w:rtl w:val="0"/>
        </w:rPr>
        <w:t xml:space="preserve">UNIVERSIDADE FEDERAL DA PARAÍBA CENTRO DE CIÊNCIAS SOCIAIS APLICADAS DEPARTAMENTO DE ECONOMIA</w:t>
      </w:r>
      <w:r/>
    </w:p>
    <w:p>
      <w:pPr>
        <w:pBdr/>
        <w:spacing w:before="1"/>
        <w:ind w:right="1892" w:firstLine="0" w:left="2592"/>
        <w:jc w:val="center"/>
        <w:rPr>
          <w:b/>
          <w:bCs/>
          <w:sz w:val="24"/>
          <w:szCs w:val="24"/>
        </w:rPr>
      </w:pPr>
      <w:r>
        <w:rPr>
          <w:b/>
          <w:bCs/>
          <w:sz w:val="24"/>
          <w:szCs w:val="24"/>
          <w:rtl w:val="0"/>
        </w:rPr>
        <w:t xml:space="preserve">CURSO DE CIÊNCIAS ECONÔMICAS</w:t>
      </w:r>
      <w:r>
        <w:rPr>
          <w:b/>
          <w:bCs/>
          <w:sz w:val="24"/>
          <w:szCs w:val="24"/>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righ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pStyle w:val="713"/>
        <w:pBdr/>
        <w:tabs>
          <w:tab w:val="left" w:leader="none" w:pos="1182"/>
          <w:tab w:val="left" w:leader="none" w:pos="1182"/>
          <w:tab w:val="left" w:leader="none" w:pos="1182"/>
          <w:tab w:val="left" w:leader="none" w:pos="1182"/>
          <w:tab w:val="left" w:leader="none" w:pos="1182"/>
        </w:tabs>
        <w:spacing w:before="185"/>
        <w:ind w:right="1892" w:firstLine="0" w:left="2587"/>
        <w:jc w:val="right"/>
        <w:rPr/>
      </w:pPr>
      <w:r>
        <w:rPr>
          <w:rtl w:val="0"/>
        </w:rPr>
        <w:t xml:space="preserve">RODRIGO FERREIRA COSTA PINTO</w:t>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0" w:line="240" w:lineRule="auto"/>
        <w:ind w:right="0" w:firstLine="0" w:left="0"/>
        <w:jc w:val="left"/>
        <w:rPr>
          <w:rFonts w:ascii="Times New Roman" w:hAnsi="Times New Roman" w:eastAsia="Times New Roman" w:cs="Times New Roman"/>
          <w:b/>
          <w:bCs/>
          <w:i w:val="0"/>
          <w:iCs w:val="0"/>
          <w:smallCaps w:val="0"/>
          <w:strike w:val="0"/>
          <w:color w:val="000000"/>
          <w:sz w:val="25"/>
          <w:szCs w:val="25"/>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5"/>
          <w:szCs w:val="25"/>
          <w:u w:val="none"/>
          <w:shd w:val="clear" w:color="auto" w:fill="auto"/>
          <w:vertAlign w:val="baseline"/>
        </w:rPr>
      </w:r>
    </w:p>
    <w:p>
      <w:pPr>
        <w:pBdr/>
        <w:spacing w:before="1" w:line="362" w:lineRule="auto"/>
        <w:ind w:right="325" w:hanging="221" w:left="538"/>
        <w:jc w:val="cente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b/>
          <w:bCs/>
          <w:sz w:val="26"/>
          <w:szCs w:val="26"/>
          <w:rtl w:val="0"/>
        </w:rPr>
        <w:t xml:space="preserve">Análise da Machine Learning Aplicada para Otimização de Portfólios</w:t>
      </w: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0"/>
        <w:jc w:val="left"/>
        <w:rPr>
          <w:rFonts w:ascii="Times New Roman" w:hAnsi="Times New Roman" w:eastAsia="Times New Roman" w:cs="Times New Roman"/>
          <w:b/>
          <w:bCs/>
          <w:i w:val="0"/>
          <w:iCs w:val="0"/>
          <w:smallCaps w:val="0"/>
          <w:strike w:val="0"/>
          <w:color w:val="000000"/>
          <w:sz w:val="25"/>
          <w:szCs w:val="25"/>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5"/>
          <w:szCs w:val="25"/>
          <w:u w:val="none"/>
          <w:shd w:val="clear" w:color="auto" w:fill="auto"/>
          <w:vertAlign w:val="baseline"/>
        </w:rPr>
      </w:r>
    </w:p>
    <w:p>
      <w:pPr>
        <w:pStyle w:val="713"/>
        <w:pBdr/>
        <w:tabs>
          <w:tab w:val="left" w:leader="none" w:pos="1182"/>
          <w:tab w:val="left" w:leader="none" w:pos="1182"/>
          <w:tab w:val="left" w:leader="none" w:pos="1182"/>
          <w:tab w:val="left" w:leader="none" w:pos="1182"/>
          <w:tab w:val="left" w:leader="none" w:pos="1182"/>
        </w:tabs>
        <w:spacing w:before="0" w:line="360" w:lineRule="auto"/>
        <w:ind w:right="3181" w:firstLine="0" w:left="3882"/>
        <w:jc w:val="center"/>
        <w:rPr/>
        <w:sectPr>
          <w:headerReference w:type="first" r:id="rId9"/>
          <w:footerReference w:type="default" r:id="rId10"/>
          <w:footerReference w:type="first" r:id="rId11"/>
          <w:footnotePr/>
          <w:endnotePr/>
          <w:type w:val="nextPage"/>
          <w:pgSz w:h="16840" w:orient="portrait" w:w="11910"/>
          <w:pgMar w:top="1400" w:right="1580" w:bottom="280" w:left="1600" w:header="360" w:footer="360" w:gutter="0"/>
          <w:pgNumType w:start="1"/>
          <w:cols w:num="1" w:sep="0" w:space="1701" w:equalWidth="1"/>
          <w:titlePg/>
        </w:sectPr>
      </w:pPr>
      <w:r>
        <w:rPr>
          <w:rtl w:val="0"/>
        </w:rPr>
        <w:t xml:space="preserve">JOÃO PESSOA 2025</w:t>
      </w:r>
      <w:r/>
    </w:p>
    <w:p>
      <w:pPr>
        <w:pBdr/>
        <w:spacing w:before="76"/>
        <w:ind w:right="1892" w:firstLine="0" w:left="2587"/>
        <w:jc w:val="center"/>
        <w:rPr>
          <w:b/>
          <w:bCs/>
          <w:sz w:val="24"/>
          <w:szCs w:val="24"/>
        </w:rPr>
      </w:pPr>
      <w:r>
        <w:rPr>
          <w:b/>
          <w:bCs/>
          <w:sz w:val="24"/>
          <w:szCs w:val="24"/>
          <w:rtl w:val="0"/>
        </w:rPr>
        <w:t xml:space="preserve">RODRIGO FERREIRA COSTA PINTO</w:t>
      </w:r>
      <w:r>
        <w:rPr>
          <w:b/>
          <w:bCs/>
          <w:sz w:val="24"/>
          <w:szCs w:val="24"/>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pBdr/>
        <w:spacing w:before="1" w:line="362" w:lineRule="auto"/>
        <w:ind w:right="325" w:hanging="221" w:left="538"/>
        <w:jc w:val="cente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b/>
          <w:bCs/>
          <w:sz w:val="26"/>
          <w:szCs w:val="26"/>
          <w:rtl w:val="0"/>
        </w:rPr>
        <w:t xml:space="preserve">Análise da Machine Learning Aplicada para Otimização de Portfólios</w:t>
      </w: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 w:line="240" w:lineRule="auto"/>
        <w:ind w:right="0" w:firstLine="0" w:left="0"/>
        <w:jc w:val="left"/>
        <w:rPr>
          <w:rFonts w:ascii="Times New Roman" w:hAnsi="Times New Roman" w:eastAsia="Times New Roman" w:cs="Times New Roman"/>
          <w:b/>
          <w:bCs/>
          <w:i w:val="0"/>
          <w:iCs w:val="0"/>
          <w:smallCaps w:val="0"/>
          <w:strike w:val="0"/>
          <w:color w:val="000000"/>
          <w:sz w:val="29"/>
          <w:szCs w:val="29"/>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9"/>
          <w:szCs w:val="29"/>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118" w:firstLine="0" w:left="4355"/>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Projeto de Pesquisa apresentado ao curso de Ciências Econômicas do Centro de Ciências Sociais Aplicadas (CCSA) da Universidade Federal da Paraíba (UFPB), como requisito para avaliação parcial na disciplina Técnica de Pesquisa em Economia.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240" w:lineRule="auto"/>
        <w:ind w:right="0" w:firstLine="0" w:left="0"/>
        <w:jc w:val="left"/>
        <w:rPr>
          <w:rFonts w:ascii="Times New Roman" w:hAnsi="Times New Roman" w:eastAsia="Times New Roman" w:cs="Times New Roman"/>
          <w:b w:val="0"/>
          <w:bCs w:val="0"/>
          <w:i w:val="0"/>
          <w:iCs w:val="0"/>
          <w:smallCaps w:val="0"/>
          <w:strike w:val="0"/>
          <w:color w:val="000000"/>
          <w:sz w:val="36"/>
          <w:szCs w:val="3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36"/>
          <w:szCs w:val="3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4422"/>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Orientador(a): </w:t>
      </w:r>
      <w:r>
        <w:rPr>
          <w:sz w:val="24"/>
          <w:szCs w:val="24"/>
          <w:rtl w:val="0"/>
        </w:rPr>
        <w:t xml:space="preserve">Prof. Dr. Sinezio Fernandes Maia</w:t>
      </w: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5"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pPr>
        <w:pStyle w:val="713"/>
        <w:pBdr/>
        <w:tabs>
          <w:tab w:val="left" w:leader="none" w:pos="1182"/>
          <w:tab w:val="left" w:leader="none" w:pos="1182"/>
          <w:tab w:val="left" w:leader="none" w:pos="1182"/>
          <w:tab w:val="left" w:leader="none" w:pos="1182"/>
          <w:tab w:val="left" w:leader="none" w:pos="1182"/>
        </w:tabs>
        <w:spacing w:before="0" w:line="360" w:lineRule="auto"/>
        <w:ind w:right="3181" w:firstLine="0" w:left="3882"/>
        <w:jc w:val="center"/>
        <w:rPr/>
        <w:sectPr>
          <w:footnotePr/>
          <w:endnotePr/>
          <w:type w:val="nextPage"/>
          <w:pgSz w:h="16840" w:orient="portrait" w:w="11910"/>
          <w:pgMar w:top="1320" w:right="1580" w:bottom="280" w:left="1600" w:header="360" w:footer="360" w:gutter="0"/>
          <w:cols w:num="1" w:sep="0" w:space="1701" w:equalWidth="1"/>
          <w:titlePg/>
        </w:sectPr>
      </w:pPr>
      <w:r>
        <w:rPr>
          <w:rtl w:val="0"/>
        </w:rPr>
        <w:t xml:space="preserve">JOÃO PESSOA 2025</w:t>
      </w:r>
      <w:r/>
    </w:p>
    <w:p>
      <w:pPr>
        <w:pStyle w:val="713"/>
        <w:pBdr/>
        <w:tabs>
          <w:tab w:val="left" w:leader="none" w:pos="1182"/>
          <w:tab w:val="left" w:leader="none" w:pos="1182"/>
          <w:tab w:val="left" w:leader="none" w:pos="1182"/>
          <w:tab w:val="left" w:leader="none" w:pos="1182"/>
          <w:tab w:val="left" w:leader="none" w:pos="1182"/>
        </w:tabs>
        <w:spacing w:before="76"/>
        <w:ind w:firstLine="0" w:left="102"/>
        <w:rPr/>
      </w:pPr>
      <w:r/>
      <w:bookmarkStart w:id="0" w:name="_heading=h.j1lj24ea1vd8"/>
      <w:r/>
      <w:bookmarkEnd w:id="0"/>
      <w:r>
        <w:rPr>
          <w:rtl w:val="0"/>
        </w:rPr>
        <w:t xml:space="preserve">SUMÁRIO</w:t>
      </w:r>
      <w:r/>
    </w:p>
    <w:p>
      <w:pPr>
        <w:pBdr/>
        <w:spacing w:before="76"/>
        <w:ind w:right="0" w:firstLine="0" w:left="102"/>
        <w:jc w:val="left"/>
        <w:rPr>
          <w:b/>
          <w:bCs/>
          <w:sz w:val="24"/>
          <w:szCs w:val="24"/>
        </w:rPr>
      </w:pPr>
      <w:r>
        <w:rPr>
          <w:rtl w:val="0"/>
        </w:rPr>
      </w:r>
      <w:r>
        <w:rPr>
          <w:b/>
          <w:bCs/>
          <w:sz w:val="24"/>
          <w:szCs w:val="24"/>
        </w:rPr>
      </w:r>
    </w:p>
    <w:sdt>
      <w:sdtPr>
        <w15:appearance w15:val="boundingBox"/>
        <w:id w:val="-136626532"/>
        <w:docPartObj>
          <w:docPartGallery w:val="Table of Contents"/>
          <w:docPartUnique w:val="true"/>
        </w:docPartObj>
        <w:rPr/>
      </w:sdtPr>
      <w:sdtContent>
        <w:p>
          <w:pPr>
            <w:pBdr/>
            <w:tabs>
              <w:tab w:val="right" w:leader="none" w:pos="12000"/>
            </w:tabs>
            <w:spacing w:before="60" w:line="24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fldChar w:fldCharType="begin"/>
            <w:instrText xml:space="preserve"> TOC \h \u \z \t "Heading 1,1,Heading 2,2,Heading 3,3,Heading 4,4,Heading 5,5,Heading 6,6,"</w:instrText>
            <w:fldChar w:fldCharType="separate"/>
          </w:r>
          <w:hyperlink w:tooltip="#_heading=h.6bawzkfi28dy" w:anchor="_heading=h.6bawzkfi28dy"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1 INTRODUÇÃO</w:t>
              <w:tab/>
              <w:t xml:space="preserve">4</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pPr>
            <w:pBdr/>
            <w:tabs>
              <w:tab w:val="right" w:leader="none" w:pos="12000"/>
            </w:tabs>
            <w:spacing w:before="60" w:line="24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hyperlink w:tooltip="#_heading=h.7navb0ok3unt" w:anchor="_heading=h.7navb0ok3unt"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2 REVISÃO DA LITERATURA</w:t>
              <w:tab/>
              <w:t xml:space="preserve">6</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pPr>
            <w:pBdr/>
            <w:tabs>
              <w:tab w:val="right" w:leader="none" w:pos="12000"/>
            </w:tabs>
            <w:spacing w:before="60" w:line="24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hyperlink w:tooltip="#_heading=h.9sth50i4ise5" w:anchor="_heading=h.9sth50i4ise5"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3 METODOLOGIA</w:t>
              <w:tab/>
              <w:t xml:space="preserve">8</w:t>
            </w:r>
          </w:hyperlink>
          <w:r>
            <w:rPr>
              <w:rtl w:val="0"/>
            </w:rPr>
          </w:r>
          <w:r>
            <w:rPr>
              <w:rFonts w:ascii="Arial" w:hAnsi="Arial" w:eastAsia="Arial" w:cs="Arial"/>
              <w:b/>
              <w:bCs/>
              <w:i w:val="0"/>
              <w:iCs w:val="0"/>
              <w:smallCaps w:val="0"/>
              <w:strike w:val="0"/>
              <w:color w:val="000000"/>
              <w:sz w:val="22"/>
              <w:szCs w:val="22"/>
              <w:u w:val="none"/>
              <w:shd w:val="clear" w:color="auto" w:fill="auto"/>
              <w:vertAlign w:val="baseline"/>
            </w:rPr>
          </w:r>
        </w:p>
        <w:p>
          <w:pPr>
            <w:pBdr/>
            <w:tabs>
              <w:tab w:val="right" w:leader="none" w:pos="12000"/>
            </w:tabs>
            <w:spacing w:before="60" w:line="240" w:lineRule="auto"/>
            <w:ind w:right="0"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f369s6dp46mv" w:anchor="_heading=h.f369s6dp46mv"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3.1 SELEÇÃO DA BASE DE DADOS</w:t>
              <w:tab/>
              <w:t xml:space="preserve">8</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pPr>
            <w:pBdr/>
            <w:tabs>
              <w:tab w:val="right" w:leader="none" w:pos="12000"/>
            </w:tabs>
            <w:spacing w:before="60" w:line="240" w:lineRule="auto"/>
            <w:ind w:right="0"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64p6xrs5eyfk" w:anchor="_heading=h.64p6xrs5eyfk"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3.2 ANÁLISE TÉCNICA</w:t>
              <w:tab/>
              <w:t xml:space="preserve">8</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pPr>
            <w:pBdr/>
            <w:tabs>
              <w:tab w:val="right" w:leader="none" w:pos="12000"/>
            </w:tabs>
            <w:spacing w:before="60" w:line="240" w:lineRule="auto"/>
            <w:ind w:right="0"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7kld3x93iiqe" w:anchor="_heading=h.7kld3x93iiqe"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3.3 Long Short-Term Memory (LSTM)</w:t>
              <w:tab/>
              <w:t xml:space="preserve">9</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pPr>
            <w:pBdr/>
            <w:tabs>
              <w:tab w:val="right" w:leader="none" w:pos="12000"/>
            </w:tabs>
            <w:spacing w:before="60" w:line="240" w:lineRule="auto"/>
            <w:ind w:right="0" w:firstLine="0" w:left="360"/>
            <w:jc w:val="left"/>
            <w:rPr>
              <w:rFonts w:ascii="Arial" w:hAnsi="Arial" w:eastAsia="Arial" w:cs="Arial"/>
              <w:b w:val="0"/>
              <w:bCs w:val="0"/>
              <w:i w:val="0"/>
              <w:iCs w:val="0"/>
              <w:smallCaps w:val="0"/>
              <w:strike w:val="0"/>
              <w:color w:val="000000"/>
              <w:sz w:val="22"/>
              <w:szCs w:val="22"/>
              <w:u w:val="none"/>
              <w:shd w:val="clear" w:color="auto" w:fill="auto"/>
              <w:vertAlign w:val="baseline"/>
            </w:rPr>
          </w:pPr>
          <w:r/>
          <w:hyperlink w:tooltip="#_heading=h.p9b97e6vcugz" w:anchor="_heading=h.p9b97e6vcugz" w:history="1">
            <w:r>
              <w:rPr>
                <w:rFonts w:ascii="Arial" w:hAnsi="Arial" w:eastAsia="Arial" w:cs="Arial"/>
                <w:b w:val="0"/>
                <w:bCs w:val="0"/>
                <w:i w:val="0"/>
                <w:iCs w:val="0"/>
                <w:smallCaps w:val="0"/>
                <w:strike w:val="0"/>
                <w:color w:val="000000"/>
                <w:sz w:val="22"/>
                <w:szCs w:val="22"/>
                <w:u w:val="none"/>
                <w:shd w:val="clear" w:color="auto" w:fill="auto"/>
                <w:vertAlign w:val="baseline"/>
                <w:rtl w:val="0"/>
              </w:rPr>
              <w:t xml:space="preserve">3.4 PREVISÕES</w:t>
              <w:tab/>
              <w:t xml:space="preserve">10</w:t>
            </w:r>
          </w:hyperlink>
          <w:r>
            <w:rPr>
              <w:rtl w:val="0"/>
            </w:rPr>
          </w:r>
          <w:r>
            <w:rPr>
              <w:rFonts w:ascii="Arial" w:hAnsi="Arial" w:eastAsia="Arial" w:cs="Arial"/>
              <w:b w:val="0"/>
              <w:bCs w:val="0"/>
              <w:i w:val="0"/>
              <w:iCs w:val="0"/>
              <w:smallCaps w:val="0"/>
              <w:strike w:val="0"/>
              <w:color w:val="000000"/>
              <w:sz w:val="22"/>
              <w:szCs w:val="22"/>
              <w:u w:val="none"/>
              <w:shd w:val="clear" w:color="auto" w:fill="auto"/>
              <w:vertAlign w:val="baseline"/>
            </w:rPr>
          </w:r>
        </w:p>
        <w:p>
          <w:pPr>
            <w:pBdr/>
            <w:tabs>
              <w:tab w:val="right" w:leader="none" w:pos="12000"/>
            </w:tabs>
            <w:spacing w:before="60" w:line="240" w:lineRule="auto"/>
            <w:ind w:right="0" w:firstLine="0" w:left="0"/>
            <w:jc w:val="left"/>
            <w:rPr>
              <w:rFonts w:ascii="Arial" w:hAnsi="Arial" w:eastAsia="Arial" w:cs="Arial"/>
              <w:b/>
              <w:bCs/>
              <w:i w:val="0"/>
              <w:iCs w:val="0"/>
              <w:smallCaps w:val="0"/>
              <w:strike w:val="0"/>
              <w:color w:val="000000"/>
              <w:sz w:val="22"/>
              <w:szCs w:val="22"/>
              <w:u w:val="none"/>
              <w:shd w:val="clear" w:color="auto" w:fill="auto"/>
              <w:vertAlign w:val="baseline"/>
            </w:rPr>
          </w:pPr>
          <w:r/>
          <w:hyperlink w:tooltip="#_heading=" w:anchor="_heading=" w:history="1">
            <w:r>
              <w:rPr>
                <w:rFonts w:ascii="Arial" w:hAnsi="Arial" w:eastAsia="Arial" w:cs="Arial"/>
                <w:b/>
                <w:bCs/>
                <w:i w:val="0"/>
                <w:iCs w:val="0"/>
                <w:smallCaps w:val="0"/>
                <w:strike w:val="0"/>
                <w:color w:val="000000"/>
                <w:sz w:val="22"/>
                <w:szCs w:val="22"/>
                <w:u w:val="none"/>
                <w:shd w:val="clear" w:color="auto" w:fill="auto"/>
                <w:vertAlign w:val="baseline"/>
                <w:rtl w:val="0"/>
              </w:rPr>
              <w:t xml:space="preserve">REFERÊNCIAS BIBLIOGRÁFICAS</w:t>
              <w:tab/>
              <w:t xml:space="preserve">11</w:t>
            </w:r>
          </w:hyperlink>
          <w:r>
            <w:fldChar w:fldCharType="end"/>
          </w:r>
          <w:r>
            <w:rPr>
              <w:rFonts w:ascii="Arial" w:hAnsi="Arial" w:eastAsia="Arial" w:cs="Arial"/>
              <w:b/>
              <w:bCs/>
              <w:i w:val="0"/>
              <w:iCs w:val="0"/>
              <w:smallCaps w:val="0"/>
              <w:strike w:val="0"/>
              <w:color w:val="000000"/>
              <w:sz w:val="22"/>
              <w:szCs w:val="22"/>
              <w:u w:val="none"/>
              <w:shd w:val="clear" w:color="auto" w:fill="auto"/>
              <w:vertAlign w:val="baseline"/>
            </w:rPr>
          </w:r>
        </w:p>
      </w:sdtContent>
    </w:sdt>
    <w:p>
      <w:pPr>
        <w:pBdr/>
        <w:spacing w:before="76"/>
        <w:ind w:right="0" w:firstLine="0" w:left="102"/>
        <w:jc w:val="left"/>
        <w:rPr>
          <w:b/>
          <w:bCs/>
          <w:sz w:val="24"/>
          <w:szCs w:val="24"/>
        </w:rPr>
        <w:sectPr>
          <w:footnotePr/>
          <w:endnotePr/>
          <w:type w:val="nextPage"/>
          <w:pgSz w:h="16840" w:orient="portrait" w:w="11910"/>
          <w:pgMar w:top="1320" w:right="1580" w:bottom="280" w:left="1600" w:header="360" w:footer="360" w:gutter="0"/>
          <w:pgNumType w:start="1"/>
          <w:cols w:num="1" w:sep="0" w:space="1701" w:equalWidth="1"/>
          <w:titlePg/>
        </w:sectPr>
      </w:pPr>
      <w:r>
        <w:rPr>
          <w:rtl w:val="0"/>
        </w:rPr>
      </w:r>
      <w:r>
        <w:rPr>
          <w:b/>
          <w:bCs/>
          <w:sz w:val="24"/>
          <w:szCs w:val="24"/>
        </w:rPr>
      </w:r>
    </w:p>
    <w:p>
      <w:pPr>
        <w:pStyle w:val="713"/>
        <w:numPr>
          <w:ilvl w:val="0"/>
          <w:numId w:val="2"/>
        </w:numPr>
        <w:pBdr/>
        <w:tabs>
          <w:tab w:val="left" w:leader="none" w:pos="386"/>
          <w:tab w:val="left" w:leader="none" w:pos="1182"/>
          <w:tab w:val="left" w:leader="none" w:pos="1182"/>
          <w:tab w:val="left" w:leader="none" w:pos="1182"/>
          <w:tab w:val="left" w:leader="none" w:pos="1182"/>
          <w:tab w:val="left" w:leader="none" w:pos="1182"/>
        </w:tabs>
        <w:spacing w:after="0" w:before="76" w:line="240" w:lineRule="auto"/>
        <w:ind w:right="0" w:hanging="284" w:left="385"/>
        <w:jc w:val="left"/>
        <w:rPr/>
      </w:pPr>
      <w:r/>
      <w:bookmarkStart w:id="1" w:name="_heading=h.6bawzkfi28dy"/>
      <w:r/>
      <w:bookmarkEnd w:id="1"/>
      <w:r>
        <w:rPr>
          <w:rtl w:val="0"/>
        </w:rPr>
        <w:t xml:space="preserve">INTRODUÇÃO</w:t>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pPr>
        <w:pBdr/>
        <w:spacing/>
        <w:ind w:firstLine="618" w:left="102"/>
        <w:rPr/>
      </w:pPr>
      <w:r>
        <w:rPr>
          <w:rtl w:val="0"/>
        </w:rPr>
        <w:t xml:space="preserve">Nas últimas</w:t>
      </w:r>
      <w:r>
        <w:rPr>
          <w:rtl w:val="0"/>
        </w:rPr>
        <w:t xml:space="preserve"> décadas, o avanço tecnológico e o crescimento exponencial da capacidade computacional transformaram profundamente o modo como dados são coletados, processados e interpretados. Em um cenário econômico cada vez mais dinâmico e interconectado, as ferramentas</w:t>
      </w:r>
      <w:r>
        <w:rPr>
          <w:rtl w:val="0"/>
        </w:rPr>
        <w:t xml:space="preserve"> de machine learning (aprendizado de máquina) vêm se consolidando como uma das principais inovações aplicadas à análise de dados financeiros, oferecendo novos caminhos para a previsão de preços, avaliação de risco e otimização de carteiras de investimento.</w:t>
      </w:r>
      <w:r/>
    </w:p>
    <w:p>
      <w:pPr>
        <w:pBdr/>
        <w:spacing/>
        <w:ind/>
        <w:rPr/>
      </w:pPr>
      <w:r>
        <w:rPr>
          <w:rtl w:val="0"/>
        </w:rPr>
        <w:t xml:space="preserve">Dessa maneira o ambiente financeiro, caracterizado por grande volatilidade e pela presença </w:t>
      </w:r>
      <w:r>
        <w:rPr>
          <w:rtl w:val="0"/>
        </w:rPr>
        <w:t xml:space="preserve">de múltiplos fatores interdependentes, apresenta desafios significativos para a modelagem tradicional. Métodos econométricos clássicos, como os modelos autorregressivos (ARIMA) e de variância condicional (GARCH), embora amplamente utilizados, enfrentam lim</w:t>
      </w:r>
      <w:r>
        <w:rPr>
          <w:rtl w:val="0"/>
        </w:rPr>
        <w:t xml:space="preserve">itações na captura de relações não lineares e de longo prazo entre variáveis. Nesse contexto, os modelos de deep learning surgem como alternativas promissoras, capazes de aprender padrões complexos e de aprimorar o poder preditivo das análises financeiras.</w:t>
      </w:r>
      <w:r/>
    </w:p>
    <w:p>
      <w:pPr>
        <w:pBdr/>
        <w:spacing/>
        <w:ind/>
        <w:rPr/>
      </w:pPr>
      <w:r>
        <w:rPr>
          <w:rtl w:val="0"/>
        </w:rPr>
        <w:t xml:space="preserve">Paralelamente, a análise técnica permanece como uma ferramenta fundamental no processo decisório de investidores e gestores de portfólios. Baseada no estudo do comportamento histórico dos preços e volumes de negoci</w:t>
      </w:r>
      <w:r>
        <w:rPr>
          <w:rtl w:val="0"/>
        </w:rPr>
        <w:t xml:space="preserve">ação, essa abordagem busca identificar tendências e pontos de reversão no mercado, assumindo que as informações disponíveis e as expectativas dos agentes já estão refletidas nos preços. Apesar das críticas formuladas pela Teoria dos Mercados Eficientes, qu</w:t>
      </w:r>
      <w:r>
        <w:rPr>
          <w:rtl w:val="0"/>
        </w:rPr>
        <w:t xml:space="preserve">e questiona a previsibilidade dos retornos futuros, a análise técnica mantém relevância prática, sobretudo em estratégias de curto prazo, por considerar fatores psicológicos e comportamentais frequentemente negligenciados pelos modelos puramente racionais.</w:t>
      </w:r>
      <w:r/>
    </w:p>
    <w:p>
      <w:pPr>
        <w:pBdr/>
        <w:spacing/>
        <w:ind/>
        <w:rPr/>
      </w:pPr>
      <w:r>
        <w:rPr>
          <w:rtl w:val="0"/>
        </w:rPr>
        <w:t xml:space="preserve">A integração entre análise técnica e machine learning representa, portanto, uma fronteira de</w:t>
      </w:r>
      <w:r>
        <w:rPr>
          <w:rtl w:val="0"/>
        </w:rPr>
        <w:t xml:space="preserve"> pesquisa que combina o conhecimento empírico dos mercados com a capacidade computacional de aprendizado automático. Modelos como o Long Short-Term Memory (LSTM), pertencente à família das redes neurais recorrentes, demonstram particular eficiência em lida</w:t>
      </w:r>
      <w:r>
        <w:rPr>
          <w:rtl w:val="0"/>
        </w:rPr>
        <w:t xml:space="preserve">r com séries temporais financeiras, preservando dependências de longo prazo e mitigando problemas de gradiente. Essa característica torna o LSTM especialmente adequado para prever movimentos de preços e retornos de ativos em horizontes temporais distintos.</w:t>
      </w:r>
      <w:r/>
    </w:p>
    <w:p>
      <w:pPr>
        <w:pBdr/>
        <w:spacing/>
        <w:ind/>
        <w:rPr/>
      </w:pPr>
      <w:r>
        <w:rPr>
          <w:rtl w:val="0"/>
        </w:rPr>
        <w:t xml:space="preserve">Diante desse contexto, o presente trabalho propõe a construção e avaliação de portfólios eficientes baseados na aplicação combinada de indicadores técnicos, técnicas de ma</w:t>
      </w:r>
      <w:r>
        <w:rPr>
          <w:rtl w:val="0"/>
        </w:rPr>
        <w:t xml:space="preserve">chine learning e o modelo clássico de média-variância de Markowitz. Busca-se, assim, analisar se o uso integrado dessas abordagens pode aprimorar a capacidade preditiva e a eficiência das carteiras em comparação às estratégias tradicionais de investimento.</w:t>
      </w:r>
      <w:r/>
    </w:p>
    <w:p>
      <w:pPr>
        <w:pStyle w:val="713"/>
        <w:pBdr/>
        <w:spacing/>
        <w:ind/>
        <w:rPr/>
      </w:pPr>
      <w:r/>
      <w:bookmarkStart w:id="2" w:name="_heading=h.vjpkykwdxio3"/>
      <w:r/>
      <w:bookmarkEnd w:id="2"/>
      <w:r>
        <w:rPr>
          <w:rtl w:val="0"/>
        </w:rPr>
        <w:t xml:space="preserve">1.1 OBJETIVO</w:t>
      </w:r>
      <w:r/>
    </w:p>
    <w:p>
      <w:pPr>
        <w:pBdr/>
        <w:spacing/>
        <w:ind/>
        <w:rPr/>
      </w:pPr>
      <w:r>
        <w:rPr>
          <w:rtl w:val="0"/>
        </w:rPr>
        <w:t xml:space="preserve">O principal objetivo deste trabalho é de contribu</w:t>
      </w:r>
      <w:r>
        <w:rPr>
          <w:rtl w:val="0"/>
        </w:rPr>
        <w:t xml:space="preserve">ir empiricamente para o debate sobre o desempenho de modelos de aprendizado de máquina em finanças, este estudo também oferece uma perspectiva prática sobre a aplicabilidade desses métodos no mercado brasileiro, considerando dados de ações que compõem o ín</w:t>
      </w:r>
      <w:r>
        <w:rPr>
          <w:rtl w:val="0"/>
        </w:rPr>
        <w:t xml:space="preserve">dice Ibovespa. Ao final, pretende-se evidenciar em que medida a incorporação de algoritmos avançados, aliados à análise técnica, pode oferecer vantagem informacional e potencial de retorno ajustado ao risco superior em relação às estratégias convencionais.</w:t>
      </w:r>
      <w:r>
        <w:rPr>
          <w:rtl w:val="0"/>
        </w:rPr>
      </w:r>
      <w:r/>
    </w:p>
    <w:p>
      <w:pPr>
        <w:pStyle w:val="713"/>
        <w:pBdr/>
        <w:spacing/>
        <w:ind/>
        <w:rPr/>
      </w:pPr>
      <w:r/>
      <w:bookmarkStart w:id="3" w:name="_heading=h.4kt168gf2vfg"/>
      <w:r/>
      <w:bookmarkEnd w:id="3"/>
      <w:r>
        <w:rPr>
          <w:rtl w:val="0"/>
        </w:rPr>
        <w:t xml:space="preserve">1.1.1 OBJETIVOS ESPECÍFICOS</w:t>
      </w:r>
      <w:r/>
    </w:p>
    <w:p>
      <w:pPr>
        <w:numPr>
          <w:ilvl w:val="0"/>
          <w:numId w:val="1"/>
        </w:numPr>
        <w:pBdr/>
        <w:spacing/>
        <w:ind w:hanging="360" w:left="1440"/>
        <w:rPr>
          <w:u w:val="none"/>
        </w:rPr>
      </w:pPr>
      <w:r>
        <w:rPr>
          <w:rtl w:val="0"/>
        </w:rPr>
        <w:t xml:space="preserve">Aplicar modelos de machine learning, com ênfase na arquitetura Long Short-Term Memory (LSTM), para previsão de preços e retornos de ações pertencentes ao índice Ibovespa.</w:t>
      </w:r>
      <w:r>
        <w:rPr>
          <w:u w:val="none"/>
        </w:rPr>
      </w:r>
    </w:p>
    <w:p>
      <w:pPr>
        <w:numPr>
          <w:ilvl w:val="0"/>
          <w:numId w:val="1"/>
        </w:numPr>
        <w:pBdr/>
        <w:spacing/>
        <w:ind w:hanging="360" w:left="1440"/>
        <w:rPr>
          <w:u w:val="none"/>
        </w:rPr>
      </w:pPr>
      <w:r>
        <w:rPr>
          <w:rtl w:val="0"/>
        </w:rPr>
        <w:t xml:space="preserve">Selecionar e utilizar indicadores técnicos relevantes como variáveis explicativas, avaliando sua contribuição na performance dos modelos preditivos.</w:t>
      </w:r>
      <w:r>
        <w:rPr>
          <w:u w:val="none"/>
        </w:rPr>
      </w:r>
    </w:p>
    <w:p>
      <w:pPr>
        <w:numPr>
          <w:ilvl w:val="0"/>
          <w:numId w:val="1"/>
        </w:numPr>
        <w:pBdr/>
        <w:spacing/>
        <w:ind w:hanging="360" w:left="1440"/>
        <w:rPr>
          <w:u w:val="none"/>
        </w:rPr>
        <w:sectPr>
          <w:footerReference w:type="default" r:id="rId12"/>
          <w:footnotePr/>
          <w:endnotePr/>
          <w:type w:val="nextPage"/>
          <w:pgSz w:h="16840" w:orient="portrait" w:w="11910"/>
          <w:pgMar w:top="1320" w:right="1580" w:bottom="280" w:left="1600" w:header="360" w:footer="360" w:gutter="0"/>
          <w:pgNumType w:start="4"/>
          <w:cols w:num="1" w:sep="0" w:space="1701" w:equalWidth="1"/>
        </w:sectPr>
      </w:pPr>
      <w:r>
        <w:rPr>
          <w:rtl w:val="0"/>
        </w:rPr>
        <w:t xml:space="preserve">Construir e comparar portfólios baseados na metodologia de Markowitz com e sem o uso das previsões geradas pelos modelos de machine learning, analisando o impacto sobre a eficiência e o retorno ajustado ao risco.</w:t>
      </w:r>
      <w:r>
        <w:rPr>
          <w:u w:val="none"/>
        </w:rPr>
      </w:r>
    </w:p>
    <w:p>
      <w:pPr>
        <w:pStyle w:val="713"/>
        <w:numPr>
          <w:ilvl w:val="0"/>
          <w:numId w:val="2"/>
        </w:numPr>
        <w:pBdr/>
        <w:tabs>
          <w:tab w:val="left" w:leader="none" w:pos="386"/>
          <w:tab w:val="left" w:leader="none" w:pos="1182"/>
          <w:tab w:val="left" w:leader="none" w:pos="1182"/>
          <w:tab w:val="left" w:leader="none" w:pos="1182"/>
          <w:tab w:val="left" w:leader="none" w:pos="1182"/>
          <w:tab w:val="left" w:leader="none" w:pos="1182"/>
        </w:tabs>
        <w:spacing w:after="0" w:before="76" w:line="360" w:lineRule="auto"/>
        <w:ind w:right="0" w:hanging="284" w:left="385"/>
        <w:jc w:val="left"/>
        <w:rPr/>
      </w:pPr>
      <w:r/>
      <w:bookmarkStart w:id="4" w:name="_heading=h.7navb0ok3unt"/>
      <w:r/>
      <w:bookmarkEnd w:id="4"/>
      <w:r>
        <w:rPr>
          <w:rtl w:val="0"/>
        </w:rPr>
        <w:t xml:space="preserve">REVISÃO DA LITERATURA</w:t>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 w:line="360" w:lineRule="auto"/>
        <w:ind w:right="0" w:firstLine="0" w:left="0"/>
        <w:jc w:val="left"/>
        <w:rPr>
          <w:rFonts w:ascii="Times New Roman" w:hAnsi="Times New Roman" w:eastAsia="Times New Roman" w:cs="Times New Roman"/>
          <w:b/>
          <w:bCs/>
          <w:i w:val="0"/>
          <w:iCs w:val="0"/>
          <w:smallCaps w:val="0"/>
          <w:strike w:val="0"/>
          <w:color w:val="000000"/>
          <w:sz w:val="21"/>
          <w:szCs w:val="21"/>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1"/>
          <w:szCs w:val="21"/>
          <w:u w:val="none"/>
          <w:shd w:val="clear" w:color="auto" w:fill="auto"/>
          <w:vertAlign w:val="baseline"/>
        </w:rPr>
      </w:r>
    </w:p>
    <w:p>
      <w:pPr>
        <w:widowControl w:val="true"/>
        <w:pBdr/>
        <w:spacing w:after="160"/>
        <w:ind w:right="0" w:firstLine="720" w:left="0"/>
        <w:rPr/>
      </w:pPr>
      <w:r>
        <w:rPr>
          <w:rtl w:val="0"/>
        </w:rPr>
        <w:t xml:space="preserve">A aplicação de modelos de aprendizado de máquina (machine learning) tem se mostrado uma ferramenta poderosa em diversas áreas</w:t>
      </w:r>
      <w:r>
        <w:rPr>
          <w:rtl w:val="0"/>
        </w:rPr>
        <w:t xml:space="preserve"> do conhecimento, promovendo avanços significativos em campos como finanças, saúde e engenharia. A literatura recente evidencia a crescente busca por modelos preditivos mais acurados e robustos, capazes de se aliar às abordagens estatísticas tradicionais. </w:t>
      </w:r>
      <w:r/>
    </w:p>
    <w:p>
      <w:pPr>
        <w:widowControl w:val="true"/>
        <w:pBdr/>
        <w:spacing w:after="160"/>
        <w:ind w:right="0" w:firstLine="720" w:left="0"/>
        <w:rPr/>
      </w:pPr>
      <w:r>
        <w:rPr>
          <w:rtl w:val="0"/>
        </w:rPr>
        <w:t xml:space="preserve">Theoharidis (2021) propõe um novo modelo de deep learning para a previsão da inflação, combinando Variational Autoencoders e Red</w:t>
      </w:r>
      <w:r>
        <w:rPr>
          <w:rtl w:val="0"/>
        </w:rPr>
        <w:t xml:space="preserve">es Convolutional LSTM. O estudo utiliza uma vasta base de dados com 134 séries temporais mensais dos Estados Unidos e demonstra, por meio de análise empírica e validação cruzada, a superioridade e a robustez do modelo proposto em comparação com diversos be</w:t>
      </w:r>
      <w:r>
        <w:rPr>
          <w:rtl w:val="0"/>
        </w:rPr>
        <w:t xml:space="preserve">nchmarks econométricos e de aprendizado de máquina. A pesquisa conclui que o deep learning pode capturar de forma eficaz o complexo processo estocástico que governa a inflação, oferecendo previsões mais consistentes e com melhor desempenho fora da amostra.</w:t>
      </w:r>
      <w:r/>
    </w:p>
    <w:p>
      <w:pPr>
        <w:widowControl w:val="true"/>
        <w:pBdr/>
        <w:spacing w:after="160"/>
        <w:ind w:right="0" w:firstLine="720" w:left="0"/>
        <w:rPr/>
      </w:pPr>
      <w:r>
        <w:rPr>
          <w:rtl w:val="0"/>
        </w:rPr>
        <w:t xml:space="preserve">Na área de análise de risco de crédito, Pinto (2020) investiga se o poder preditivo dos modelos de machine learning é supe</w:t>
      </w:r>
      <w:r>
        <w:rPr>
          <w:rtl w:val="0"/>
        </w:rPr>
        <w:t xml:space="preserve">rior aos modelos tradicionais. A pesquisa desenvolve e compara modelos para prever o risco de crédito de empresas de atacado, utilizando a regressão logística como benchmark. Os resultados mostram que o modelo XGBoost obteve o melhor desempenho, com uma cu</w:t>
      </w:r>
      <w:r>
        <w:rPr>
          <w:rtl w:val="0"/>
        </w:rPr>
        <w:t xml:space="preserve">rva ROC de 0,99 e acurácia de 0,98. O trabalho também aplica técnicas de interpretabilidade para identificar as variáveis mais relevantes, corroborando a crescente utilização e a maior capacidade preditiva dos modelos de machine learning na área econômica.</w:t>
      </w:r>
      <w:r/>
    </w:p>
    <w:p>
      <w:pPr>
        <w:widowControl w:val="true"/>
        <w:pBdr/>
        <w:spacing w:after="160"/>
        <w:ind w:right="0" w:firstLine="720" w:left="0"/>
        <w:rPr/>
      </w:pPr>
      <w:r>
        <w:rPr>
          <w:rtl w:val="0"/>
        </w:rPr>
        <w:t xml:space="preserve">Martins (2024) explora a aplicação de deep learning para dados</w:t>
      </w:r>
      <w:r>
        <w:rPr>
          <w:rtl w:val="0"/>
        </w:rPr>
        <w:t xml:space="preserve"> tabulares, com foco em séries temporais. A dissertação aborda a necessidade de uma preparação específica dos dados e utiliza modelos ARIMA como base de comparação. O estudo destaca que a abordagem dos algoritmos de deep learning difere consideravelmente d</w:t>
      </w:r>
      <w:r>
        <w:rPr>
          <w:rtl w:val="0"/>
        </w:rPr>
        <w:t xml:space="preserve">os modelos clássicos de séries temporais, o que impulsiona a pesquisa acadêmica. A crescente popularidade e os resultados obtidos em competições internacionais evidenciam o potencial dessa metodologia para a previsão de valores futuros em séries temporais.</w:t>
      </w:r>
      <w:r/>
    </w:p>
    <w:p>
      <w:pPr>
        <w:widowControl w:val="true"/>
        <w:pBdr/>
        <w:spacing w:after="160"/>
        <w:ind w:right="0" w:firstLine="720" w:left="0"/>
        <w:rPr/>
      </w:pPr>
      <w:r>
        <w:rPr>
          <w:rtl w:val="0"/>
        </w:rPr>
        <w:t xml:space="preserve">Com o objetivo de encontrar oportunidades no mercado imobiliário, Falcão e Helena (2023) aplic</w:t>
      </w:r>
      <w:r>
        <w:rPr>
          <w:rtl w:val="0"/>
        </w:rPr>
        <w:t xml:space="preserve">am modelos de aprendizado de máquina para a precificação de imóveis em São Paulo. O trabalho propõe uma modelagem estatística inovadora que considera variáveis intrínsecas e extrínsecas para estimar o preço de mercado, utilizando os modelos Hedônico, KNN e</w:t>
      </w:r>
      <w:r>
        <w:rPr>
          <w:rtl w:val="0"/>
        </w:rPr>
        <w:t xml:space="preserve"> XGBoost. Os resultados indicam que é possível identificar imóveis subprecificados, e a pesquisa conclui que a metodologia desenvolvida motiva futuras investigações para aprofundar a análise e a busca por oportunidades de investimento no setor imobiliário.</w:t>
      </w:r>
      <w:r/>
    </w:p>
    <w:p>
      <w:pPr>
        <w:widowControl w:val="true"/>
        <w:pBdr/>
        <w:spacing w:after="160"/>
        <w:ind w:right="0" w:firstLine="720" w:left="0"/>
        <w:rPr/>
      </w:pPr>
      <w:r>
        <w:rPr>
          <w:rtl w:val="0"/>
        </w:rPr>
        <w:t xml:space="preserve">Coelho (2020) utiliza o algoritmo Long-Short Term Memory (LSTM) e indicadores de análise técnica para construir portfólios de renda variável no mercado brasileiro. A </w:t>
      </w:r>
      <w:r>
        <w:rPr>
          <w:rtl w:val="0"/>
        </w:rPr>
        <w:t xml:space="preserve">metodologia busca obter carteiras com melhor relação risco-retorno em comparação ao Ibovespa. Os resultados demonstram que os portfólios que visavam minimizar a volatilidade apresentaram retorno semelhante ao benchmark com menor risco, enquanto os que busc</w:t>
      </w:r>
      <w:r>
        <w:rPr>
          <w:rtl w:val="0"/>
        </w:rPr>
        <w:t xml:space="preserve">avam maximizar o Índice de Sharpe obtiveram uma relação risco-retorno superior. O trabalho conclui que é viável utilizar redes neurais em conjunto com técnicas de alocação de Markowitz e indicadores técnicos para a elaboração de portfólios de investimento.</w:t>
      </w:r>
      <w:r/>
    </w:p>
    <w:p>
      <w:pPr>
        <w:widowControl w:val="true"/>
        <w:pBdr/>
        <w:spacing w:after="160"/>
        <w:ind w:right="0" w:firstLine="720" w:left="0"/>
        <w:rPr/>
      </w:pPr>
      <w:r>
        <w:rPr>
          <w:rtl w:val="0"/>
        </w:rPr>
        <w:t xml:space="preserve">Silva (2024) investiga a eficiência e a aplicabilidade de algoritmos de machine learning, com foco </w:t>
      </w:r>
      <w:r>
        <w:rPr>
          <w:rtl w:val="0"/>
        </w:rPr>
        <w:t xml:space="preserve">no random forest, em estratégias de day trading de ações. A dissertação realiza uma comparação detalhada entre estratégias de trading tradicionais, baseadas em indicadores de análise técnica, e aquelas aprimoradas pelo random forest. A pesquisa avalia o de</w:t>
      </w:r>
      <w:r>
        <w:rPr>
          <w:rtl w:val="0"/>
        </w:rPr>
        <w:t xml:space="preserve">sempenho das estratégias em termos de retorno sobre o investimento e risco, contribuindo para a literatura de finanças quantitativas e oferecendo insights práticos para investidores e pesquisadores interessados em tecnologias avançadas de análise de dados.</w:t>
      </w:r>
      <w:r/>
    </w:p>
    <w:p>
      <w:pPr>
        <w:widowControl w:val="true"/>
        <w:pBdr/>
        <w:spacing w:after="160"/>
        <w:ind w:right="0" w:firstLine="720" w:left="0"/>
        <w:rPr/>
      </w:pPr>
      <w:r>
        <w:rPr>
          <w:rtl w:val="0"/>
        </w:rPr>
        <w:t xml:space="preserve">Na área da saúde, (Borba, 2023) analisa a capacidade de generalização dos algoritmos de m</w:t>
      </w:r>
      <w:r>
        <w:rPr>
          <w:rtl w:val="0"/>
        </w:rPr>
        <w:t xml:space="preserve">achine learning e suas aplicações na otimização de decisões. A tese, composta por três artigos, investiga a generalização de modelos de ML em saúde, a validação externa de um algoritmo para predição de mortalidade neonatal e a aplicação de transfer learnin</w:t>
      </w:r>
      <w:r>
        <w:rPr>
          <w:rtl w:val="0"/>
        </w:rPr>
        <w:t xml:space="preserve">g para predizer óbito em pacientes com Covid-19. Os resultados apontam para a importância da generalização dos algoritmos, ao mesmo tempo que destacam os desafios técnicos que ainda persistem para a aplicação bem-sucedida dessas técnicas no setor de saúde.</w:t>
      </w:r>
      <w:r/>
    </w:p>
    <w:p>
      <w:pPr>
        <w:widowControl w:val="true"/>
        <w:pBdr/>
        <w:spacing w:after="160"/>
        <w:ind w:right="0" w:firstLine="720" w:left="0"/>
        <w:rPr/>
      </w:pPr>
      <w:r>
        <w:rPr>
          <w:rtl w:val="0"/>
        </w:rPr>
        <w:t xml:space="preserve">Por fim, Lira (2020) aplica técnicas</w:t>
      </w:r>
      <w:r>
        <w:rPr>
          <w:rtl w:val="0"/>
        </w:rPr>
        <w:t xml:space="preserve"> de Deep Learning Bayesiano para gerar predições temporais robustas e confiáveis para a resistência à compressão do cimento. O trabalho demonstra que a utilização de Inferência Bayesiana em modelos de Deep Learning promove um ganho sensível de acurácia na </w:t>
      </w:r>
      <w:r>
        <w:rPr>
          <w:rtl w:val="0"/>
        </w:rPr>
        <w:t xml:space="preserve">predição. Além disso, as características probabilísticas das predições as tornam mais seguras para o uso em ambientes industriais, como o chão de fábrica, evidenciando o potencial da abordagem para aplicações de engenharia que demandam alta confiabilidade.</w:t>
      </w:r>
      <w:r/>
    </w:p>
    <w:p>
      <w:pPr>
        <w:widowControl w:val="true"/>
        <w:pBdr/>
        <w:spacing w:after="160"/>
        <w:ind w:right="0" w:firstLine="720" w:left="0"/>
        <w:rPr/>
      </w:pPr>
      <w:r>
        <w:rPr>
          <w:rtl w:val="0"/>
        </w:rPr>
      </w:r>
      <w:r/>
    </w:p>
    <w:p>
      <w:pPr>
        <w:pStyle w:val="713"/>
        <w:pBdr/>
        <w:tabs>
          <w:tab w:val="left" w:leader="none" w:pos="1182"/>
          <w:tab w:val="left" w:leader="none" w:pos="1182"/>
          <w:tab w:val="left" w:leader="none" w:pos="1182"/>
        </w:tabs>
        <w:spacing w:after="160"/>
        <w:ind w:firstLine="102"/>
        <w:rPr/>
      </w:pPr>
      <w:r/>
      <w:bookmarkStart w:id="5" w:name="_heading=h.9sth50i4ise5"/>
      <w:r/>
      <w:bookmarkEnd w:id="5"/>
      <w:r>
        <w:rPr>
          <w:rtl w:val="0"/>
        </w:rPr>
        <w:t xml:space="preserve">3 FUNDAMENTAÇÃO TEÓRICA</w:t>
      </w:r>
      <w:r/>
    </w:p>
    <w:p>
      <w:pPr>
        <w:pStyle w:val="1_3"/>
        <w:pBdr/>
        <w:spacing/>
        <w:ind/>
        <w:rPr/>
      </w:pPr>
      <w:r/>
      <w:bookmarkStart w:id="6" w:name="_heading=h.64p6xrs5eyfk"/>
      <w:r/>
      <w:bookmarkEnd w:id="6"/>
      <w:r>
        <w:rPr>
          <w:rtl w:val="0"/>
        </w:rPr>
        <w:t xml:space="preserve">3.1 ANÁLISE TÉCNICA  </w:t>
      </w:r>
      <w:r/>
    </w:p>
    <w:p>
      <w:pPr>
        <w:pBdr/>
        <w:spacing/>
        <w:ind/>
        <w:rPr/>
      </w:pPr>
      <w:r>
        <w:rPr>
          <w:rtl w:val="0"/>
        </w:rPr>
        <w:t xml:space="preserve">A análise técnica é um método que busca compreender o comportamento futuro de um ativo financeiro a partir da observação de seus movimentos passados. Baseia-se principalmente em dados históricos de preços e volumes de negociação </w:t>
      </w:r>
      <w:r>
        <w:rPr>
          <w:rtl w:val="0"/>
        </w:rPr>
        <w:t xml:space="preserve">para identificar tendências e padrões que possam orientar decisões de compra e venda. A lógica central é que os preços refletem todas as informações disponíveis no mercado e, portanto, o estudo de suas oscilações pode indicar oportunidades de investimento.</w:t>
      </w:r>
      <w:r/>
    </w:p>
    <w:p>
      <w:pPr>
        <w:pBdr/>
        <w:spacing/>
        <w:ind/>
        <w:rPr/>
      </w:pPr>
      <w:r>
        <w:rPr>
          <w:rtl w:val="0"/>
        </w:rPr>
        <w:t xml:space="preserve">Esse tipo de análise pode ser aplicada de forma reativa  observando acontecimentos já consolidados  ou de maneira preditiva, ao tentar antecipar movimentos futuros. Em qualquer caso, o preço de um ativo representa um c</w:t>
      </w:r>
      <w:r>
        <w:rPr>
          <w:rtl w:val="0"/>
        </w:rPr>
        <w:t xml:space="preserve">onsenso entre compradores e vendedores, influenciado por expectativas e percepções sobre o mercado. Como essas expectativas são humanas, elas envolvem fatores psicológicos e comportamentais difíceis de mensurar, o que torna a previsão de preços um desafio.</w:t>
      </w:r>
      <w:r/>
    </w:p>
    <w:p>
      <w:pPr>
        <w:pBdr/>
        <w:spacing/>
        <w:ind/>
        <w:rPr/>
      </w:pPr>
      <w:r>
        <w:rPr>
          <w:rtl w:val="0"/>
        </w:rPr>
        <w:t xml:space="preserve">A origem da análise técnica remonta ao início do século XX, com os princípios da Teoria de Dow. Essa teoria propunha que o movimento de índice</w:t>
      </w:r>
      <w:r>
        <w:rPr>
          <w:rtl w:val="0"/>
        </w:rPr>
        <w:t xml:space="preserve">s específicos poderia indicar a direção geral do mercado, inaugurando o conceito de observar tendências para compreender o comportamento dos preços. Desde então, a prática se consolidou como uma das principais abordagens de estudo dos mercados financeiros.</w:t>
      </w:r>
      <w:r/>
    </w:p>
    <w:p>
      <w:pPr>
        <w:pBdr/>
        <w:spacing/>
        <w:ind/>
        <w:rPr/>
      </w:pPr>
      <w:r>
        <w:rPr>
          <w:rtl w:val="0"/>
        </w:rPr>
        <w:t xml:space="preserve">Durante mui</w:t>
      </w:r>
      <w:r>
        <w:rPr>
          <w:rtl w:val="0"/>
        </w:rPr>
        <w:t xml:space="preserve">to tempo, a análise técnica foi alvo de críticas no meio acadêmico, especialmente entre os defensores da Teoria dos Mercados Eficientes, que argumentavam que os preços já incorporam todas as informações disponíveis, tornando impossível prever retornos futu</w:t>
      </w:r>
      <w:r>
        <w:rPr>
          <w:rtl w:val="0"/>
        </w:rPr>
        <w:t xml:space="preserve">ros. No entanto, muitos analistas sustentam que o mercado não é totalmente racional e que aspectos emocionais e comportamentais como o chamado “efeito manada”, em que investidores seguem o comportamento dos outros exercem grande influência sobre os preços.</w:t>
      </w:r>
      <w:r/>
    </w:p>
    <w:p>
      <w:pPr>
        <w:pBdr/>
        <w:spacing/>
        <w:ind/>
        <w:rPr/>
      </w:pPr>
      <w:r>
        <w:rPr>
          <w:rtl w:val="0"/>
        </w:rPr>
        <w:t xml:space="preserve">Na prática, a análise técnica é amplamente utilizada por gestores, traders e ins</w:t>
      </w:r>
      <w:r>
        <w:rPr>
          <w:rtl w:val="0"/>
        </w:rPr>
        <w:t xml:space="preserve">tituições financeiras, sobretudo para operações de curto prazo. Indicadores técnicos, como médias móveis, índices de força relativa e bandas de Bollinger, ajudam a determinar momentos adequados de entrada e saída do mercado, apoiando decisões estratégicas.</w:t>
      </w:r>
      <w:r>
        <w:rPr>
          <w:highlight w:val="none"/>
        </w:rPr>
      </w:r>
    </w:p>
    <w:p>
      <w:pPr>
        <w:pStyle w:val="1_3"/>
        <w:pBdr/>
        <w:spacing/>
        <w:ind/>
        <w:rPr>
          <w:highlight w:val="none"/>
        </w:rPr>
      </w:pPr>
      <w:r>
        <w:rPr>
          <w:rtl w:val="0"/>
        </w:rPr>
      </w:r>
      <w:r>
        <w:rPr>
          <w:highlight w:val="none"/>
          <w:rtl w:val="0"/>
        </w:rPr>
        <w:t xml:space="preserve">3.1.1 </w:t>
      </w:r>
      <w:r>
        <w:rPr>
          <w:highlight w:val="none"/>
          <w:rtl w:val="0"/>
        </w:rPr>
        <w:t xml:space="preserve"> Índice de Força Relativa</w:t>
      </w:r>
      <w:r>
        <w:rPr>
          <w:highlight w:val="none"/>
          <w:rtl w:val="0"/>
        </w:rPr>
        <w:t xml:space="preserve"> (IFR)</w:t>
      </w:r>
      <w:r>
        <w:rPr>
          <w:highlight w:val="none"/>
        </w:rPr>
      </w:r>
      <w:r/>
      <w:r>
        <w:rPr>
          <w:highlight w:val="none"/>
          <w:rtl w:val="0"/>
        </w:rPr>
      </w:r>
      <w:r>
        <w:rPr>
          <w:highlight w:val="none"/>
          <w:rtl w:val="0"/>
        </w:rPr>
      </w:r>
      <w:r>
        <w:rPr>
          <w:highlight w:val="none"/>
        </w:rPr>
      </w:r>
      <w:r>
        <w:rPr>
          <w:highlight w:val="none"/>
          <w:rtl w:val="0"/>
        </w:rPr>
      </w:r>
      <w:r>
        <w:rPr>
          <w:highlight w:val="none"/>
          <w:rtl w:val="0"/>
        </w:rPr>
      </w:r>
      <w:r>
        <w:rPr>
          <w:highlight w:val="none"/>
        </w:rPr>
      </w:r>
    </w:p>
    <w:p>
      <w:pPr>
        <w:pStyle w:val="1_65"/>
        <w:pBdr/>
        <w:spacing/>
        <w:ind/>
        <w:rPr>
          <w:highlight w:val="none"/>
        </w:rPr>
      </w:pPr>
      <w:r>
        <w:rPr>
          <w:highlight w:val="yellow"/>
          <w:rtl w:val="0"/>
        </w:rPr>
      </w:r>
      <w:r>
        <w:rPr>
          <w:highlight w:val="yellow"/>
          <w:rtl w:val="0"/>
        </w:rPr>
        <w:t xml:space="preserve">O indicador de força relativa (IFR) é um indicador de análise técnica criado pelo engenheiro mecânico J. Welles Wilder. Trata-se de um indicador da classe dos osciladores e tem como seu objetivo principal apontar os ativos sobrecomprados e sobrevendidos dur</w:t>
      </w:r>
      <w:r>
        <w:rPr>
          <w:highlight w:val="yellow"/>
          <w:rtl w:val="0"/>
        </w:rPr>
        <w:t xml:space="preserve">ante a análise.</w:t>
      </w:r>
      <w:r>
        <w:rPr>
          <w:highlight w:val="yellow"/>
          <w:rtl w:val="0"/>
        </w:rPr>
      </w:r>
      <w:r>
        <w:rPr>
          <w:highlight w:val="yellow"/>
          <w:rtl w:val="0"/>
        </w:rPr>
      </w:r>
    </w:p>
    <w:p>
      <w:pPr>
        <w:pStyle w:val="1_65"/>
        <w:pBdr/>
        <w:spacing/>
        <w:ind/>
        <w:jc w:val="center"/>
        <w:rPr>
          <w:highlight w:val="none"/>
        </w:rPr>
      </w:pPr>
      <w:r>
        <w:rPr>
          <w:highlight w:val="none"/>
          <w:rtl w:val="0"/>
        </w:rPr>
      </w:r>
      <w:r/>
      <w:r>
        <mc:AlternateContent>
          <mc:Choice Requires="wpg">
            <w:drawing>
              <wp:inline xmlns:wp="http://schemas.openxmlformats.org/drawingml/2006/wordprocessingDrawing" distT="0" distB="0" distL="0" distR="0">
                <wp:extent cx="1990725" cy="4476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880" name=""/>
                        <pic:cNvPicPr>
                          <a:picLocks noChangeAspect="1"/>
                        </pic:cNvPicPr>
                        <pic:nvPr/>
                      </pic:nvPicPr>
                      <pic:blipFill>
                        <a:blip r:embed="rId15"/>
                        <a:stretch/>
                      </pic:blipFill>
                      <pic:spPr bwMode="auto">
                        <a:xfrm>
                          <a:off x="0" y="0"/>
                          <a:ext cx="1990724"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6.75pt;height:35.25pt;mso-wrap-distance-left:0.00pt;mso-wrap-distance-top:0.00pt;mso-wrap-distance-right:0.00pt;mso-wrap-distance-bottom:0.00pt;z-index:1;" stroked="false">
                <v:imagedata r:id="rId15" o:title=""/>
                <o:lock v:ext="edit" rotation="t"/>
              </v:shape>
            </w:pict>
          </mc:Fallback>
        </mc:AlternateContent>
      </w:r>
      <w:r/>
      <w:r>
        <w:rPr>
          <w:highlight w:val="none"/>
          <w:rtl w:val="0"/>
        </w:rPr>
      </w:r>
      <w:r>
        <w:rPr>
          <w:highlight w:val="none"/>
          <w:rtl w:val="0"/>
        </w:rPr>
      </w:r>
    </w:p>
    <w:p>
      <w:pPr>
        <w:pStyle w:val="1_65"/>
        <w:pBdr/>
        <w:spacing/>
        <w:ind/>
        <w:jc w:val="left"/>
        <w:rPr>
          <w:highlight w:val="none"/>
        </w:rPr>
      </w:pPr>
      <w:r>
        <w:rPr>
          <w:highlight w:val="none"/>
          <w:rtl w:val="0"/>
        </w:rPr>
        <w:t xml:space="preserve">IFR se refere ao indicadador de forca relativa podendo variar entre 0 e 100. FR é o ganho medio dividido pela perda media, para o ganho medio soma-se os ganhos dos ultimos 14 periodos e se divide por 14 e para a perda media o calculo é o mesmo, somando as perdas dos ultimos 14 periodos e entao se divide por 14.</w:t>
      </w:r>
      <w:r>
        <w:rPr>
          <w:highlight w:val="none"/>
          <w:rtl w:val="0"/>
        </w:rPr>
      </w:r>
    </w:p>
    <w:p>
      <w:pPr>
        <w:pStyle w:val="1_3"/>
        <w:pBdr/>
        <w:spacing/>
        <w:ind/>
        <w:rPr>
          <w:highlight w:val="none"/>
        </w:rPr>
      </w:pPr>
      <w:r>
        <w:rPr>
          <w:highlight w:val="none"/>
          <w:rtl w:val="0"/>
        </w:rPr>
        <w:t xml:space="preserve">3.1.2 </w:t>
      </w:r>
      <w:r>
        <w:rPr>
          <w:highlight w:val="none"/>
          <w:rtl w:val="0"/>
        </w:rPr>
        <w:t xml:space="preserve">Moving Average Convergence Divergence (</w:t>
      </w:r>
      <w:r>
        <w:rPr>
          <w:highlight w:val="none"/>
          <w:rtl w:val="0"/>
        </w:rPr>
        <w:t xml:space="preserve">MACD</w:t>
      </w:r>
      <w:r>
        <w:rPr>
          <w:highlight w:val="none"/>
          <w:rtl w:val="0"/>
        </w:rPr>
        <w:t xml:space="preserve">)</w:t>
      </w:r>
      <w:r>
        <w:rPr>
          <w:highlight w:val="none"/>
          <w:rtl w:val="0"/>
        </w:rPr>
      </w:r>
      <w:r>
        <w:rPr>
          <w:highlight w:val="none"/>
          <w:rtl w:val="0"/>
        </w:rPr>
      </w:r>
    </w:p>
    <w:p>
      <w:pPr>
        <w:pStyle w:val="1_65"/>
        <w:pBdr/>
        <w:spacing/>
        <w:ind/>
        <w:rPr>
          <w:highlight w:val="none"/>
        </w:rPr>
      </w:pPr>
      <w:r>
        <w:rPr>
          <w:highlight w:val="none"/>
          <w:rtl w:val="0"/>
        </w:rPr>
        <w:t xml:space="preserve">Desenvolido por Gerald Appel em 1970 </w:t>
      </w:r>
      <w:r>
        <w:rPr>
          <w:highlight w:val="none"/>
          <w:rtl w:val="0"/>
        </w:rPr>
        <w:t xml:space="preserve">O indicador de MACD se comporta </w:t>
      </w:r>
      <w:r>
        <w:rPr>
          <w:highlight w:val="none"/>
          <w:rtl w:val="0"/>
        </w:rPr>
        <w:t xml:space="preserve">como um oscilador que exibe graficamente médias móveis em relação ao preço</w:t>
      </w:r>
      <w:r>
        <w:rPr>
          <w:highlight w:val="none"/>
          <w:rtl w:val="0"/>
        </w:rPr>
        <w:t xml:space="preserve">. </w:t>
      </w:r>
      <w:r>
        <w:rPr>
          <w:highlight w:val="none"/>
          <w:rtl w:val="0"/>
        </w:rPr>
        <w:t xml:space="preserve">Os fundamentos do MACD consistem em uma média móvel exponencial de 12 dias e uma média móvel exponencial de 26 dias. A linha do MACD é criada subtraindo-se a média móvel exponencial de 12 dias da média móvel exponencial de 26 dias. A linha de sinal do MACD </w:t>
      </w:r>
      <w:r>
        <w:rPr>
          <w:highlight w:val="none"/>
          <w:rtl w:val="0"/>
        </w:rPr>
        <w:t xml:space="preserve">é a média móvel exponencial de 9 dias da linha do MACD. O histograma do MACD é a diferença entre a linha do MACD e a linha de sinal do MACD.</w:t>
      </w:r>
      <w:r>
        <w:rPr>
          <w:highlight w:val="none"/>
          <w:rtl w:val="0"/>
        </w:rPr>
        <w:t xml:space="preserve"> </w:t>
      </w:r>
      <w:r>
        <w:rPr>
          <w:highlight w:val="none"/>
          <w:rtl w:val="0"/>
        </w:rPr>
      </w:r>
    </w:p>
    <w:p>
      <w:pPr>
        <w:pStyle w:val="1_65"/>
        <w:pBdr/>
        <w:spacing/>
        <w:ind/>
        <w:jc w:val="center"/>
        <w:rPr>
          <w:color w:val="c00000"/>
          <w:highlight w:val="yellow"/>
        </w:rPr>
      </w:pPr>
      <w:r>
        <w:rPr>
          <w:color w:val="c00000"/>
          <w:highlight w:val="yellow"/>
          <w:rtl w:val="0"/>
        </w:rPr>
      </w:r>
      <w:r>
        <w:rPr>
          <w:highlight w:val="yellow"/>
        </w:rPr>
        <mc:AlternateContent>
          <mc:Choice Requires="wpg">
            <w:drawing>
              <wp:inline xmlns:wp="http://schemas.openxmlformats.org/drawingml/2006/wordprocessingDrawing" distT="0" distB="0" distL="0" distR="0">
                <wp:extent cx="4378665" cy="118790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10079" name=""/>
                        <pic:cNvPicPr>
                          <a:picLocks noChangeAspect="1"/>
                        </pic:cNvPicPr>
                        <pic:nvPr/>
                      </pic:nvPicPr>
                      <pic:blipFill>
                        <a:blip r:embed="rId16"/>
                        <a:stretch/>
                      </pic:blipFill>
                      <pic:spPr bwMode="auto">
                        <a:xfrm flipH="0" flipV="0">
                          <a:off x="0" y="0"/>
                          <a:ext cx="4378664" cy="11879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4.78pt;height:93.54pt;mso-wrap-distance-left:0.00pt;mso-wrap-distance-top:0.00pt;mso-wrap-distance-right:0.00pt;mso-wrap-distance-bottom:0.00pt;z-index:1;" stroked="false">
                <v:imagedata r:id="rId16" o:title=""/>
                <o:lock v:ext="edit" rotation="t"/>
              </v:shape>
            </w:pict>
          </mc:Fallback>
        </mc:AlternateContent>
      </w:r>
      <w:r>
        <w:rPr>
          <w:color w:val="c00000"/>
          <w:highlight w:val="yellow"/>
          <w:rtl w:val="0"/>
        </w:rPr>
      </w:r>
      <w:r>
        <w:rPr>
          <w:color w:val="c00000"/>
          <w:highlight w:val="yellow"/>
          <w:rtl w:val="0"/>
        </w:rPr>
      </w:r>
    </w:p>
    <w:p>
      <w:pPr>
        <w:pStyle w:val="1_65"/>
        <w:pBdr/>
        <w:spacing/>
        <w:ind/>
        <w:rPr>
          <w:color w:val="auto"/>
          <w:highlight w:val="yellow"/>
        </w:rPr>
      </w:pPr>
      <w:r>
        <w:rPr>
          <w:color w:val="auto"/>
          <w:highlight w:val="yellow"/>
          <w:rtl w:val="0"/>
        </w:rPr>
        <w:t xml:space="preserve">onde: n é o número de dias e p(i) é o preço do ativo em um dia i; e EMA corresponde à média </w:t>
      </w:r>
      <w:r>
        <w:rPr>
          <w:color w:val="auto"/>
          <w:highlight w:val="yellow"/>
          <w:rtl w:val="0"/>
        </w:rPr>
        <w:t xml:space="preserve">móvel exponencial e </w:t>
      </w:r>
      <w:r/>
      <w:r>
        <w:t xml:space="preserve">α</w:t>
      </w:r>
      <w:r/>
      <w:r>
        <w:rPr>
          <w:color w:val="auto"/>
          <w:highlight w:val="yellow"/>
          <w:rtl w:val="0"/>
        </w:rPr>
        <w:t xml:space="preserve"> ao seu fator de decaimento. Conforme utilizado em Murphy (1999),</w:t>
      </w:r>
      <w:r>
        <w:rPr>
          <w:highlight w:val="yellow"/>
        </w:rPr>
        <w:t xml:space="preserve"> </w:t>
      </w:r>
      <w:r>
        <w:rPr>
          <w:color w:val="auto"/>
          <w:highlight w:val="yellow"/>
          <w:rtl w:val="0"/>
        </w:rPr>
        <w:t xml:space="preserve">foram utilizados para os cálculos das médias móveis exponenciais de 12 e 26 dias. O sinal </w:t>
      </w:r>
      <w:r>
        <w:rPr>
          <w:color w:val="auto"/>
          <w:highlight w:val="yellow"/>
          <w:rtl w:val="0"/>
        </w:rPr>
        <w:t xml:space="preserve">utilizado normalmente no MACD para indicar os momentos de entrada e saídas foi calculado</w:t>
      </w:r>
      <w:r>
        <w:rPr>
          <w:color w:val="auto"/>
          <w:highlight w:val="yellow"/>
          <w:rtl w:val="0"/>
        </w:rPr>
        <w:t xml:space="preserve"> </w:t>
      </w:r>
      <w:r>
        <w:rPr>
          <w:color w:val="auto"/>
          <w:highlight w:val="yellow"/>
          <w:rtl w:val="0"/>
        </w:rPr>
        <w:t xml:space="preserve">conforme abaixo:</w:t>
      </w:r>
      <w:r>
        <w:rPr>
          <w:color w:val="auto"/>
          <w:highlight w:val="yellow"/>
        </w:rPr>
      </w:r>
      <w:r>
        <w:rPr>
          <w:color w:val="auto"/>
          <w:highlight w:val="yellow"/>
          <w:rtl w:val="0"/>
        </w:rPr>
      </w:r>
    </w:p>
    <w:p>
      <w:pPr>
        <w:pStyle w:val="1_65"/>
        <w:pBdr/>
        <w:spacing/>
        <w:ind/>
        <w:jc w:val="center"/>
        <w:rPr>
          <w:color w:val="auto"/>
          <w:highlight w:val="yellow"/>
        </w:rPr>
      </w:pPr>
      <w:r>
        <w:rPr>
          <w:color w:val="auto"/>
          <w:highlight w:val="yellow"/>
        </w:rPr>
      </w:r>
      <w:r>
        <w:rPr>
          <w:highlight w:val="yellow"/>
        </w:rPr>
        <mc:AlternateContent>
          <mc:Choice Requires="wpg">
            <w:drawing>
              <wp:inline xmlns:wp="http://schemas.openxmlformats.org/drawingml/2006/wordprocessingDrawing" distT="0" distB="0" distL="0" distR="0">
                <wp:extent cx="2543175" cy="4191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7761" name=""/>
                        <pic:cNvPicPr>
                          <a:picLocks noChangeAspect="1"/>
                        </pic:cNvPicPr>
                        <pic:nvPr/>
                      </pic:nvPicPr>
                      <pic:blipFill>
                        <a:blip r:embed="rId17"/>
                        <a:stretch/>
                      </pic:blipFill>
                      <pic:spPr bwMode="auto">
                        <a:xfrm>
                          <a:off x="0" y="0"/>
                          <a:ext cx="2543175" cy="419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00.25pt;height:33.00pt;mso-wrap-distance-left:0.00pt;mso-wrap-distance-top:0.00pt;mso-wrap-distance-right:0.00pt;mso-wrap-distance-bottom:0.00pt;z-index:1;" stroked="false">
                <v:imagedata r:id="rId17" o:title=""/>
                <o:lock v:ext="edit" rotation="t"/>
              </v:shape>
            </w:pict>
          </mc:Fallback>
        </mc:AlternateContent>
      </w:r>
      <w:r>
        <w:rPr>
          <w:color w:val="auto"/>
          <w:highlight w:val="yellow"/>
        </w:rPr>
      </w:r>
      <w:r>
        <w:rPr>
          <w:color w:val="auto"/>
          <w:highlight w:val="yellow"/>
        </w:rPr>
      </w:r>
    </w:p>
    <w:p>
      <w:pPr>
        <w:pStyle w:val="1_65"/>
        <w:pBdr/>
        <w:spacing/>
        <w:ind/>
        <w:jc w:val="left"/>
        <w:rPr>
          <w:color w:val="auto"/>
          <w:highlight w:val="yellow"/>
        </w:rPr>
      </w:pPr>
      <w:r>
        <w:rPr>
          <w:color w:val="auto"/>
          <w:highlight w:val="yellow"/>
        </w:rPr>
      </w:r>
      <w:r>
        <w:rPr>
          <w:color w:val="auto"/>
          <w:highlight w:val="yellow"/>
        </w:rPr>
        <w:t xml:space="preserve">onde: MMS é a média móvel simples de nove períodos passados do MACD</w:t>
      </w:r>
      <w:r>
        <w:rPr>
          <w:color w:val="auto"/>
          <w:highlight w:val="yellow"/>
        </w:rPr>
      </w:r>
      <w:r>
        <w:rPr>
          <w:color w:val="auto"/>
          <w:highlight w:val="yellow"/>
        </w:rPr>
      </w:r>
    </w:p>
    <w:p>
      <w:pPr>
        <w:pStyle w:val="1_3"/>
        <w:pBdr/>
        <w:spacing/>
        <w:ind/>
        <w:rPr>
          <w:color w:val="auto"/>
          <w:highlight w:val="none"/>
        </w:rPr>
      </w:pPr>
      <w:r>
        <w:rPr>
          <w:color w:val="auto"/>
          <w:highlight w:val="none"/>
          <w:rtl w:val="0"/>
        </w:rPr>
        <w:t xml:space="preserve">3.1.3 </w:t>
      </w:r>
      <w:r>
        <w:rPr>
          <w:color w:val="auto"/>
          <w:highlight w:val="none"/>
          <w:rtl w:val="0"/>
        </w:rPr>
        <w:t xml:space="preserve">On Balance Volume (OBV)</w:t>
      </w:r>
      <w:r>
        <w:rPr>
          <w:color w:val="auto"/>
          <w:highlight w:val="none"/>
          <w:rtl w:val="0"/>
        </w:rPr>
      </w:r>
      <w:r>
        <w:rPr>
          <w:color w:val="auto"/>
          <w:highlight w:val="yellow"/>
        </w:rPr>
      </w:r>
    </w:p>
    <w:p>
      <w:pPr>
        <w:pStyle w:val="1_65"/>
        <w:pBdr/>
        <w:spacing/>
        <w:ind/>
        <w:rPr>
          <w:color w:val="auto"/>
          <w:highlight w:val="none"/>
        </w:rPr>
      </w:pPr>
      <w:r>
        <w:rPr>
          <w:color w:val="auto"/>
          <w:highlight w:val="none"/>
          <w:rtl w:val="0"/>
        </w:rPr>
        <w:t xml:space="preserve">OBV é um indicador de </w:t>
      </w:r>
      <w:r>
        <w:rPr>
          <w:color w:val="auto"/>
          <w:highlight w:val="none"/>
          <w:rtl w:val="0"/>
        </w:rPr>
        <w:t xml:space="preserve">impulso</w:t>
      </w:r>
      <w:r>
        <w:rPr>
          <w:color w:val="auto"/>
          <w:highlight w:val="none"/>
          <w:rtl w:val="0"/>
        </w:rPr>
        <w:t xml:space="preserve"> criado por Joe Granville em 1960. Seguindo a premissao que preco normalmente segue o volume </w:t>
      </w:r>
      <w:r>
        <w:rPr>
          <w:color w:val="auto"/>
          <w:highlight w:val="none"/>
          <w:rtl w:val="0"/>
        </w:rPr>
        <w:t xml:space="preserve">se procura certas tendências no indicador OBV como uma ferramenta preditiva para identificar pontos de inflexão ou continuação de tendências.</w:t>
      </w:r>
      <w:r>
        <w:rPr>
          <w:color w:val="auto"/>
          <w:highlight w:val="none"/>
          <w:rtl w:val="0"/>
        </w:rPr>
      </w:r>
      <w:r>
        <w:rPr>
          <w:color w:val="auto"/>
          <w:highlight w:val="none"/>
          <w:rtl w:val="0"/>
        </w:rPr>
      </w:r>
    </w:p>
    <w:p>
      <w:pPr>
        <w:pStyle w:val="1_65"/>
        <w:pBdr/>
        <w:spacing/>
        <w:ind/>
        <w:rPr>
          <w:color w:val="auto"/>
          <w:highlight w:val="red"/>
        </w:rPr>
      </w:pPr>
      <w:r>
        <w:rPr>
          <w:color w:val="auto"/>
          <w:highlight w:val="red"/>
          <w:rtl w:val="0"/>
        </w:rPr>
        <w:t xml:space="preserve">FORMULA E EXPLICACAO </w:t>
      </w:r>
      <w:r>
        <w:rPr>
          <w:color w:val="auto"/>
          <w:highlight w:val="red"/>
          <w:rtl w:val="0"/>
        </w:rPr>
      </w:r>
    </w:p>
    <w:p>
      <w:pPr>
        <w:pStyle w:val="1_3"/>
        <w:pBdr/>
        <w:spacing/>
        <w:ind/>
        <w:rPr>
          <w:color w:val="auto"/>
          <w:highlight w:val="none"/>
        </w:rPr>
      </w:pPr>
      <w:r>
        <w:rPr>
          <w:color w:val="auto"/>
          <w:highlight w:val="none"/>
          <w:rtl w:val="0"/>
        </w:rPr>
        <w:t xml:space="preserve">3.1.4 </w:t>
      </w:r>
      <w:r>
        <w:rPr>
          <w:color w:val="auto"/>
          <w:highlight w:val="none"/>
          <w:rtl w:val="0"/>
        </w:rPr>
        <w:t xml:space="preserve">Bandas de Bollinger (B.B.)</w:t>
      </w:r>
      <w:r>
        <w:rPr>
          <w:color w:val="auto"/>
          <w:highlight w:val="none"/>
          <w:rtl w:val="0"/>
        </w:rPr>
      </w:r>
      <w:r>
        <w:rPr>
          <w:color w:val="auto"/>
          <w:highlight w:val="none"/>
          <w:rtl w:val="0"/>
        </w:rPr>
      </w:r>
    </w:p>
    <w:p>
      <w:pPr>
        <w:pStyle w:val="1_65"/>
        <w:pBdr/>
        <w:spacing/>
        <w:ind/>
        <w:rPr>
          <w:color w:val="auto"/>
          <w:highlight w:val="none"/>
        </w:rPr>
      </w:pPr>
      <w:r>
        <w:rPr>
          <w:color w:val="auto"/>
          <w:highlight w:val="none"/>
          <w:rtl w:val="0"/>
        </w:rPr>
      </w:r>
      <w:r>
        <w:rPr>
          <w:color w:val="auto"/>
          <w:highlight w:val="none"/>
          <w:rtl w:val="0"/>
        </w:rPr>
        <w:t xml:space="preserve">As Bandas de Bollinger são uma ferramenta de análise técnica desenvolvida por John Bollinger na década de 1980 para negociação de ações. Elas consistem em três linhas: a banda superior, a banda média e a banda inferior. A linha média geralmente representa a</w:t>
      </w:r>
      <w:r>
        <w:rPr>
          <w:color w:val="auto"/>
          <w:highlight w:val="none"/>
          <w:rtl w:val="0"/>
        </w:rPr>
        <w:t xml:space="preserve"> média móvel simples (MMS) de 20 dias, e as linhas superior e inferior também representam médias móveis simples de 20 dias, mais ou menos duas vezes o desvio padrão do preço nos últimos 20 dias.</w:t>
      </w:r>
      <w:r>
        <w:rPr>
          <w:color w:val="auto"/>
          <w:highlight w:val="none"/>
          <w:rtl w:val="0"/>
        </w:rPr>
      </w:r>
      <w:r>
        <w:rPr>
          <w:color w:val="auto"/>
          <w:highlight w:val="none"/>
          <w:rtl w:val="0"/>
        </w:rPr>
      </w:r>
    </w:p>
    <w:p>
      <w:pPr>
        <w:pStyle w:val="1_65"/>
        <w:pBdr/>
        <w:spacing/>
        <w:ind/>
        <w:rPr>
          <w:color w:val="auto"/>
          <w:highlight w:val="none"/>
        </w:rPr>
      </w:pPr>
      <w:r>
        <w:rPr>
          <w:color w:val="auto"/>
          <w:highlight w:val="none"/>
          <w:rtl w:val="0"/>
        </w:rPr>
      </w:r>
      <w:r>
        <mc:AlternateContent>
          <mc:Choice Requires="wpg">
            <w:drawing>
              <wp:inline xmlns:wp="http://schemas.openxmlformats.org/drawingml/2006/wordprocessingDrawing" distT="0" distB="0" distL="0" distR="0">
                <wp:extent cx="4457700" cy="6191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2621" name=""/>
                        <pic:cNvPicPr>
                          <a:picLocks noChangeAspect="1"/>
                        </pic:cNvPicPr>
                        <pic:nvPr/>
                      </pic:nvPicPr>
                      <pic:blipFill>
                        <a:blip r:embed="rId18"/>
                        <a:stretch/>
                      </pic:blipFill>
                      <pic:spPr bwMode="auto">
                        <a:xfrm>
                          <a:off x="0" y="0"/>
                          <a:ext cx="4457700" cy="619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51.00pt;height:48.75pt;mso-wrap-distance-left:0.00pt;mso-wrap-distance-top:0.00pt;mso-wrap-distance-right:0.00pt;mso-wrap-distance-bottom:0.00pt;z-index:1;" stroked="false">
                <v:imagedata r:id="rId18" o:title=""/>
                <o:lock v:ext="edit" rotation="t"/>
              </v:shape>
            </w:pict>
          </mc:Fallback>
        </mc:AlternateContent>
      </w:r>
      <w:r>
        <w:rPr>
          <w:color w:val="auto"/>
          <w:highlight w:val="none"/>
          <w:rtl w:val="0"/>
        </w:rPr>
      </w:r>
      <w:r>
        <w:rPr>
          <w:color w:val="auto"/>
          <w:highlight w:val="none"/>
          <w:rtl w:val="0"/>
        </w:rPr>
      </w:r>
    </w:p>
    <w:p>
      <w:pPr>
        <w:pStyle w:val="1_65"/>
        <w:pBdr/>
        <w:spacing/>
        <w:ind/>
        <w:rPr/>
      </w:pPr>
      <w:r>
        <w:rPr>
          <w:color w:val="auto"/>
          <w:highlight w:val="none"/>
          <w:rtl w:val="0"/>
        </w:rPr>
        <w:t xml:space="preserve">PT = Preço Típico que é a média simples entre preços da máxima e mínima além do</w:t>
      </w:r>
      <w:r/>
      <w:r>
        <w:rPr>
          <w:color w:val="auto"/>
          <w:highlight w:val="none"/>
          <w:rtl w:val="0"/>
        </w:rPr>
        <w:t xml:space="preserve">preço de fechamento na data em questão.</w:t>
      </w:r>
      <w:r/>
      <w:r>
        <w:rPr>
          <w:color w:val="auto"/>
          <w:highlight w:val="none"/>
          <w:rtl w:val="0"/>
        </w:rPr>
      </w:r>
    </w:p>
    <w:p>
      <w:pPr>
        <w:pStyle w:val="1_65"/>
        <w:pBdr/>
        <w:spacing/>
        <w:ind/>
        <w:rPr/>
      </w:pPr>
      <w:r>
        <w:rPr>
          <w:color w:val="auto"/>
          <w:highlight w:val="none"/>
          <w:rtl w:val="0"/>
        </w:rPr>
        <w:t xml:space="preserve">n = Número de dias do período analisado</w:t>
      </w:r>
      <w:r/>
    </w:p>
    <w:p>
      <w:pPr>
        <w:pStyle w:val="1_65"/>
        <w:pBdr/>
        <w:spacing/>
        <w:ind/>
        <w:rPr/>
      </w:pPr>
      <w:r>
        <w:rPr>
          <w:color w:val="auto"/>
          <w:highlight w:val="none"/>
          <w:rtl w:val="0"/>
        </w:rPr>
        <w:t xml:space="preserve">m = número de desvios-padrão utilizados</w:t>
      </w:r>
      <w:r/>
    </w:p>
    <w:p>
      <w:pPr>
        <w:pStyle w:val="1_65"/>
        <w:pBdr/>
        <w:spacing/>
        <w:ind/>
        <w:rPr/>
      </w:pPr>
      <w:r>
        <w:rPr>
          <w:rFonts w:hint="default" w:ascii="Cambria Math" w:hAnsi="Cambria Math" w:eastAsia="Cambria Math" w:cs="Cambria Math"/>
          <w:color w:val="auto"/>
          <w:highlight w:val="none"/>
          <w:rtl w:val="0"/>
        </w:rPr>
      </w:r>
      <w:r>
        <w:rPr>
          <w:rFonts w:hint="default" w:ascii="Cambria Math" w:hAnsi="Cambria Math" w:eastAsia="Cambria Math" w:cs="Cambria Math"/>
          <w:color w:val="auto"/>
          <w:highlight w:val="none"/>
          <w:rtl w:val="0"/>
        </w:rPr>
        <w:t xml:space="preserve">σ[PT,n]</w:t>
      </w:r>
      <w:r>
        <w:rPr>
          <w:color w:val="auto"/>
          <w:highlight w:val="none"/>
          <w:rtl w:val="0"/>
        </w:rPr>
        <w:t xml:space="preserve"> = desvio padrão dos últimos n períodos dos Preços Típicos (PT)</w:t>
      </w:r>
      <w:r/>
    </w:p>
    <w:p>
      <w:pPr>
        <w:pStyle w:val="1_65"/>
        <w:pBdr/>
        <w:spacing/>
        <w:ind/>
        <w:rPr>
          <w:color w:val="auto"/>
          <w:highlight w:val="yellow"/>
        </w:rPr>
      </w:pPr>
      <w:r>
        <w:rPr>
          <w:color w:val="auto"/>
          <w:highlight w:val="none"/>
          <w:rtl w:val="0"/>
        </w:rPr>
        <w:t xml:space="preserve">Para este trabalho, n = 20 e m = 2, assim como no trabalho original de Bollinger.</w:t>
      </w:r>
      <w:r/>
      <w:r>
        <w:rPr>
          <w:color w:val="auto"/>
          <w:highlight w:val="none"/>
          <w:rtl w:val="0"/>
        </w:rPr>
      </w:r>
      <w:r>
        <w:rPr>
          <w:color w:val="auto"/>
          <w:highlight w:val="none"/>
          <w:rtl w:val="0"/>
        </w:rPr>
      </w:r>
    </w:p>
    <w:p>
      <w:pPr>
        <w:pStyle w:val="1_3"/>
        <w:pBdr/>
        <w:spacing/>
        <w:ind/>
        <w:rPr/>
      </w:pPr>
      <w:r/>
      <w:bookmarkStart w:id="7" w:name="_heading=h.gglgxp69sgn7"/>
      <w:r/>
      <w:bookmarkEnd w:id="7"/>
      <w:r>
        <w:rPr>
          <w:rtl w:val="0"/>
        </w:rPr>
        <w:t xml:space="preserve">3.2 </w:t>
      </w:r>
      <w:r>
        <w:rPr>
          <w:rtl w:val="0"/>
        </w:rPr>
        <w:t xml:space="preserve">Modelagem ARIMA(p, d, q) </w:t>
      </w:r>
      <w:r/>
    </w:p>
    <w:p>
      <w:pPr>
        <w:pStyle w:val="1_65"/>
        <w:pBdr/>
        <w:spacing/>
        <w:ind/>
        <w:rPr/>
      </w:pPr>
      <w:r>
        <w:rPr>
          <w:rtl w:val="0"/>
        </w:rPr>
        <w:t xml:space="preserve">Conforme Ediger e Akar (2007), o ARIMA é um dos mais populares modelos para análise da previsão de demanda para séries temporais. Os modelos ARIMA são modelos que utilizam apena</w:t>
      </w:r>
      <w:r>
        <w:rPr>
          <w:rtl w:val="0"/>
        </w:rPr>
        <w:t xml:space="preserve">s dados históricos de séries temporais com o intuito de expressar como as séries reagem de acordo com a variação estocástica anterior (BABAI et al, 2013). Os modelos ARIMA podem ajudar a entender a dinâmica dos dados em uma determinada aplicação (BABU; RED</w:t>
      </w:r>
      <w:r>
        <w:rPr>
          <w:rtl w:val="0"/>
        </w:rPr>
        <w:t xml:space="preserve">DY, 2014). O modelo ARIMA originou-se a partir dos modelos de auto-regressão (AR) e das médias móveis (MA) e da combinação entre AR e MA (modelo ARMA), (GUJARATI, 2000; MORETTIN; TOLLOI, 2004; EDIGER; AKAR, 2007). [Para informações adicionais ver Morettin </w:t>
      </w:r>
      <w:r>
        <w:rPr>
          <w:rtl w:val="0"/>
        </w:rPr>
        <w:t xml:space="preserve">e Toloi, 2004]. Conforme Gujarati (2000) “muitas séries temporais econômicas são não-estacionárias, ou seja, são integrais”. No entanto, dada uma série temporal, se esta for integrada de ordem 1 (I[1]), suas primeiras diferenças serão I[0], ou seja, demons</w:t>
      </w:r>
      <w:r>
        <w:rPr>
          <w:rtl w:val="0"/>
        </w:rPr>
        <w:t xml:space="preserve">tram-se estacionárias. Assim, em geral, se uma série temporal não estacionária, representada por I[d], se diferenciarmos d vezes esta série, será obtida uma série estacionária I[0] (GUJARATI, 2000). Conforme o autor, didaticamente adota-se I[0] para indica</w:t>
      </w:r>
      <w:r>
        <w:rPr>
          <w:rtl w:val="0"/>
        </w:rPr>
        <w:t xml:space="preserve">r que a série é estacionaria. Logo, se para análise de uma série temporal for necessária a sua diferenciação d vezes para torná-la estacionária, diz-se que esta série temporal é ARIMA (Auto Regressiva Integrada de Média Móvel). Assim, será representada por</w:t>
      </w:r>
      <w:r>
        <w:rPr>
          <w:rtl w:val="0"/>
        </w:rPr>
        <w:t xml:space="preserve"> ARIMA(p,d,q), onde p indica o número de termos auto-regressivos, d o número de vezes que a série deve ser diferenciada para se tornar estacionária e, q indica o número de termos de média móvel (GUJARATI, 2000). A estrutura do modelo ARIMA é expressa por </w:t>
        <w:br/>
      </w:r>
      <w:r>
        <mc:AlternateContent>
          <mc:Choice Requires="wpg">
            <w:drawing>
              <wp:inline xmlns:wp="http://schemas.openxmlformats.org/drawingml/2006/wordprocessingDrawing" distT="0" distB="0" distL="0" distR="0">
                <wp:extent cx="5540700" cy="342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19"/>
                        <a:srcRect l="0" t="0" r="0" b="0"/>
                        <a:stretch/>
                      </pic:blipFill>
                      <pic:spPr bwMode="auto">
                        <a:xfrm>
                          <a:off x="0" y="0"/>
                          <a:ext cx="5540700" cy="342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6.28pt;height:27.00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p>
    <w:p>
      <w:pPr>
        <w:pBdr/>
        <w:spacing/>
        <w:ind/>
        <w:rPr/>
      </w:pPr>
      <w:r>
        <w:rPr>
          <w:rtl w:val="0"/>
        </w:rPr>
        <w:t xml:space="preserve">Pode ser dividido em 3 partes:</w:t>
      </w:r>
      <w:r/>
    </w:p>
    <w:p>
      <w:pPr>
        <w:pBdr/>
        <w:spacing/>
        <w:ind/>
        <w:rPr/>
      </w:pPr>
      <w:r>
        <w:rPr>
          <w:rtl w:val="0"/>
        </w:rPr>
        <w:t xml:space="preserve">1.Diferença (ΔᵈZₜ)</w:t>
      </w:r>
      <w:r/>
    </w:p>
    <w:p>
      <w:pPr>
        <w:pBdr/>
        <w:spacing/>
        <w:ind/>
        <w:rPr/>
      </w:pPr>
      <w:r>
        <w:rPr>
          <w:rtl w:val="0"/>
        </w:rPr>
        <w:t xml:space="preserve">O símbolo Δᵈ representa o operador de diferença de ordem d.</w:t>
      </w:r>
      <w:r/>
    </w:p>
    <w:p>
      <w:pPr>
        <w:pBdr/>
        <w:spacing/>
        <w:ind/>
        <w:rPr/>
      </w:pPr>
      <w:r>
        <w:rPr>
          <w:rtl w:val="0"/>
        </w:rPr>
        <w:t xml:space="preserve">Isso significa que a série Zₜ foi diferenciada d vezes para se tornar estacionária (ou seja, para remover tendência ou sazonalidade).</w:t>
      </w:r>
      <w:r/>
    </w:p>
    <w:p>
      <w:pPr>
        <w:pBdr/>
        <w:spacing/>
        <w:ind/>
        <w:rPr/>
      </w:pPr>
      <w:r>
        <w:rPr>
          <w:rtl w:val="0"/>
        </w:rPr>
      </w:r>
      <w:r/>
    </w:p>
    <w:p>
      <w:pPr>
        <w:pBdr/>
        <w:spacing/>
        <w:ind/>
        <w:rPr/>
      </w:pPr>
      <w:r/>
      <w:sdt>
        <w:sdtPr>
          <w15:appearance w15:val="boundingBox"/>
          <w:id w:val="1059802043"/>
          <w:tag w:val="goog_rdk_0"/>
          <w:rPr/>
        </w:sdtPr>
        <w:sdtContent>
          <w:r>
            <w:rPr>
              <w:rFonts w:ascii="Cardo" w:hAnsi="Cardo" w:eastAsia="Cardo" w:cs="Cardo"/>
              <w:rtl w:val="0"/>
            </w:rPr>
            <w:t xml:space="preserve">Se d = 1, então ΔZₜ = Zₜ − Zₜ₋₁</w:t>
          </w:r>
        </w:sdtContent>
      </w:sdt>
      <w:r/>
      <w:r/>
    </w:p>
    <w:p>
      <w:pPr>
        <w:pBdr/>
        <w:spacing/>
        <w:ind/>
        <w:rPr/>
      </w:pPr>
      <w:r>
        <w:rPr>
          <w:rtl w:val="0"/>
        </w:rPr>
      </w:r>
      <w:r/>
    </w:p>
    <w:p>
      <w:pPr>
        <w:pBdr/>
        <w:spacing/>
        <w:ind/>
        <w:rPr/>
      </w:pPr>
      <w:r/>
      <w:sdt>
        <w:sdtPr>
          <w15:appearance w15:val="boundingBox"/>
          <w:id w:val="329220643"/>
          <w:tag w:val="goog_rdk_1"/>
          <w:rPr/>
        </w:sdtPr>
        <w:sdtContent>
          <w:r>
            <w:rPr>
              <w:rFonts w:ascii="Cardo" w:hAnsi="Cardo" w:eastAsia="Cardo" w:cs="Cardo"/>
              <w:rtl w:val="0"/>
            </w:rPr>
            <w:t xml:space="preserve">Se d = 2, então Δ²Zₜ = (Zₜ − Zₜ₋₁) − (Zₜ₋₁ − Zₜ₋₂)</w:t>
          </w:r>
        </w:sdtContent>
      </w:sdt>
      <w:r/>
      <w:r/>
    </w:p>
    <w:p>
      <w:pPr>
        <w:pBdr/>
        <w:spacing/>
        <w:ind/>
        <w:rPr/>
      </w:pPr>
      <w:r>
        <w:rPr>
          <w:rtl w:val="0"/>
        </w:rPr>
      </w:r>
      <w:r/>
    </w:p>
    <w:p>
      <w:pPr>
        <w:pBdr/>
        <w:spacing/>
        <w:ind/>
        <w:rPr/>
      </w:pPr>
      <w:r>
        <w:rPr>
          <w:rtl w:val="0"/>
        </w:rPr>
        <w:t xml:space="preserve">2. Parte Autorregressiva – AR(p)</w:t>
      </w:r>
      <w:r/>
    </w:p>
    <w:p>
      <w:pPr>
        <w:pBdr/>
        <w:spacing/>
        <w:ind/>
        <w:rPr/>
      </w:pPr>
      <w:r>
        <w:rPr>
          <w:rtl w:val="0"/>
        </w:rPr>
      </w:r>
      <w:r/>
    </w:p>
    <w:p>
      <w:pPr>
        <w:pBdr/>
        <w:spacing/>
        <w:ind/>
        <w:rPr/>
      </w:pPr>
      <w:r>
        <w:rPr>
          <w:rtl w:val="0"/>
        </w:rPr>
        <w:t xml:space="preserve">φ₁Wₜ₋₁ + φ₂Wₜ₋₂ + ... + φₚWₜ₋ₚ</w:t>
      </w:r>
      <w:r/>
    </w:p>
    <w:p>
      <w:pPr>
        <w:pBdr/>
        <w:spacing/>
        <w:ind/>
        <w:rPr/>
      </w:pPr>
      <w:r>
        <w:rPr>
          <w:rtl w:val="0"/>
        </w:rPr>
      </w:r>
      <w:r/>
    </w:p>
    <w:p>
      <w:pPr>
        <w:pBdr/>
        <w:spacing/>
        <w:ind/>
        <w:rPr/>
      </w:pPr>
      <w:r>
        <w:rPr>
          <w:rtl w:val="0"/>
        </w:rPr>
        <w:t xml:space="preserve">Cada termo depende de valores passados da própria série Wₜ.</w:t>
      </w:r>
      <w:r/>
    </w:p>
    <w:p>
      <w:pPr>
        <w:pBdr/>
        <w:spacing/>
        <w:ind/>
        <w:rPr/>
      </w:pPr>
      <w:r>
        <w:rPr>
          <w:rtl w:val="0"/>
        </w:rPr>
        <w:t xml:space="preserve">Os coeficientes φᵢ indicam o peso (ou influência) de cada defasagem.</w:t>
      </w:r>
      <w:r/>
    </w:p>
    <w:p>
      <w:pPr>
        <w:pBdr/>
        <w:spacing/>
        <w:ind/>
        <w:rPr/>
      </w:pPr>
      <w:r>
        <w:rPr>
          <w:rtl w:val="0"/>
        </w:rPr>
        <w:t xml:space="preserve">Essa parte capta a dependência temporal entre observações da série.</w:t>
      </w:r>
      <w:r/>
    </w:p>
    <w:p>
      <w:pPr>
        <w:pBdr/>
        <w:spacing/>
        <w:ind/>
        <w:rPr/>
      </w:pPr>
      <w:r>
        <w:rPr>
          <w:rtl w:val="0"/>
        </w:rPr>
      </w:r>
      <w:r/>
    </w:p>
    <w:p>
      <w:pPr>
        <w:pBdr/>
        <w:spacing/>
        <w:ind/>
        <w:rPr/>
      </w:pPr>
      <w:r>
        <w:rPr>
          <w:rtl w:val="0"/>
        </w:rPr>
        <w:t xml:space="preserve">3. Parte de Médias Móveis – MA(q)</w:t>
      </w:r>
      <w:r/>
    </w:p>
    <w:p>
      <w:pPr>
        <w:pBdr/>
        <w:spacing/>
        <w:ind/>
        <w:rPr/>
      </w:pPr>
      <w:r>
        <w:rPr>
          <w:rtl w:val="0"/>
        </w:rPr>
      </w:r>
      <w:r/>
    </w:p>
    <w:p>
      <w:pPr>
        <w:pBdr/>
        <w:spacing/>
        <w:ind/>
        <w:rPr/>
      </w:pPr>
      <w:r/>
      <w:sdt>
        <w:sdtPr>
          <w15:appearance w15:val="boundingBox"/>
          <w:id w:val="-785110145"/>
          <w:tag w:val="goog_rdk_2"/>
          <w:rPr/>
        </w:sdtPr>
        <w:sdtContent>
          <w:r>
            <w:rPr>
              <w:rFonts w:ascii="Caudex" w:hAnsi="Caudex" w:eastAsia="Caudex" w:cs="Caudex"/>
              <w:rtl w:val="0"/>
            </w:rPr>
            <w:t xml:space="preserve">aₜ − θ₁aₜ₋₁ − ... − θq aₜ₋q</w:t>
          </w:r>
        </w:sdtContent>
      </w:sdt>
      <w:r/>
      <w:r/>
    </w:p>
    <w:p>
      <w:pPr>
        <w:pBdr/>
        <w:spacing/>
        <w:ind/>
        <w:rPr/>
      </w:pPr>
      <w:r>
        <w:rPr>
          <w:rtl w:val="0"/>
        </w:rPr>
      </w:r>
      <w:r/>
    </w:p>
    <w:p>
      <w:pPr>
        <w:pBdr/>
        <w:spacing/>
        <w:ind/>
        <w:rPr/>
      </w:pPr>
      <w:r>
        <w:rPr>
          <w:rtl w:val="0"/>
        </w:rPr>
        <w:t xml:space="preserve">Aqui, aₜ representa o termo de erro aleatório (ruído branco) no tempo t.</w:t>
      </w:r>
      <w:r/>
    </w:p>
    <w:p>
      <w:pPr>
        <w:pBdr/>
        <w:spacing/>
        <w:ind/>
        <w:rPr/>
      </w:pPr>
      <w:r>
        <w:rPr>
          <w:rtl w:val="0"/>
        </w:rPr>
        <w:t xml:space="preserve">Os coeficientes θⱼ indicam a influência dos erros passados na previsão atual.</w:t>
      </w:r>
      <w:r/>
    </w:p>
    <w:p>
      <w:pPr>
        <w:pBdr/>
        <w:spacing/>
        <w:ind/>
        <w:rPr/>
      </w:pPr>
      <w:r>
        <w:rPr>
          <w:rtl w:val="0"/>
        </w:rPr>
        <w:t xml:space="preserve">Essa parte modela choques temporários ou ruídos que impactam a série no curto prazo.</w:t>
      </w:r>
      <w:r/>
    </w:p>
    <w:p>
      <w:pPr>
        <w:pStyle w:val="714"/>
        <w:pBdr/>
        <w:spacing/>
        <w:ind/>
        <w:rPr/>
      </w:pPr>
      <w:r/>
      <w:bookmarkStart w:id="8" w:name="_heading=h.7kld3x93iiqe"/>
      <w:r/>
      <w:bookmarkEnd w:id="8"/>
      <w:r>
        <w:rPr>
          <w:rtl w:val="0"/>
        </w:rPr>
        <w:t xml:space="preserve">3.2 Long Short-Term Memory (LSTM) </w:t>
      </w:r>
      <w:r/>
    </w:p>
    <w:p>
      <w:pPr>
        <w:pBdr/>
        <w:spacing/>
        <w:ind/>
        <w:rPr/>
      </w:pPr>
      <w:r>
        <w:rPr>
          <w:rtl w:val="0"/>
        </w:rPr>
        <w:t xml:space="preserve">Long Short-Term Memory (LSTM) constitui uma arquitetura de rede neural recorrente especifica</w:t>
      </w:r>
      <w:r>
        <w:rPr>
          <w:rtl w:val="0"/>
        </w:rPr>
        <w:t xml:space="preserve">mente desenvolvida para superar as limitações fundamentais das redes neurais recorrentes convencionais, particularmente o problema do gradiente explosivo e do gradiente que desvanece. Enquanto as redes recorrentes básicas utilizam uma única conexão de retr</w:t>
      </w:r>
      <w:r>
        <w:rPr>
          <w:rtl w:val="0"/>
        </w:rPr>
        <w:t xml:space="preserve">oalimentação independentemente da distância temporal dos eventos, as LSTMs implementam caminhos separados para o processamento de memórias de longo e curto prazo, possibilitando o processamento eficaz de sequências substancialmente mais extensas de dados.​</w:t>
      </w:r>
      <w:r/>
    </w:p>
    <w:p>
      <w:pPr>
        <w:pBdr/>
        <w:spacing/>
        <w:ind/>
        <w:rPr/>
      </w:pPr>
      <w:r>
        <w:rPr>
          <w:rtl w:val="0"/>
        </w:rPr>
        <w:t xml:space="preserve">A unidade LSTM incorpora dois componentes fundamentais: o cell state (estado de célula), representando a memória de longo prazo, e o hidden state (estado oculto), representando a memória de curto prazo. A inovação arquitetôn</w:t>
      </w:r>
      <w:r>
        <w:rPr>
          <w:rtl w:val="0"/>
        </w:rPr>
        <w:t xml:space="preserve">ica primordial reside no fato de que o estado de célula não possui conexões diretas de pesos e vieses, permitindo que as memórias de longo prazo fluam através de uma série de unidades desenroladas sem provocar a explosão ou o desvanecimento dos gradientes.</w:t>
      </w:r>
      <w:r/>
    </w:p>
    <w:p>
      <w:pPr>
        <w:pBdr/>
        <w:spacing/>
        <w:ind/>
        <w:rPr/>
      </w:pPr>
      <w:r>
        <w:rPr>
          <w:rtl w:val="0"/>
        </w:rPr>
        <w:tab/>
      </w:r>
      <w:r>
        <mc:AlternateContent>
          <mc:Choice Requires="wpg">
            <w:drawing>
              <wp:inline xmlns:wp="http://schemas.openxmlformats.org/drawingml/2006/wordprocessingDrawing" distT="0" distB="0" distL="0" distR="0">
                <wp:extent cx="5540700" cy="2971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20"/>
                        <a:srcRect l="0" t="0" r="0" b="0"/>
                        <a:stretch/>
                      </pic:blipFill>
                      <pic:spPr bwMode="auto">
                        <a:xfrm>
                          <a:off x="0" y="0"/>
                          <a:ext cx="5540700" cy="2971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6.28pt;height:234.00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p>
    <w:p>
      <w:pPr>
        <w:pBdr/>
        <w:spacing/>
        <w:ind/>
        <w:rPr/>
      </w:pPr>
      <w:r>
        <w:rPr>
          <w:rtl w:val="0"/>
        </w:rPr>
      </w:r>
      <w:r/>
    </w:p>
    <w:p>
      <w:pPr>
        <w:pBdr/>
        <w:spacing/>
        <w:ind/>
        <w:rPr/>
      </w:pPr>
      <w:r>
        <w:rPr>
          <w:rtl w:val="0"/>
        </w:rPr>
        <w:t xml:space="preserve">Esse modelo pode ser dividido em trê</w:t>
      </w:r>
      <w:r>
        <w:rPr>
          <w:rtl w:val="0"/>
        </w:rPr>
        <w:t xml:space="preserve">s etapas: O primeiro estágio determina qual percentual da memória de longo prazo deve ser retido. O processo multiplica a memória de curto prazo por seu peso correspondente, multiplica o input por seu peso, adiciona estes produtos juntamente com um termo d</w:t>
      </w:r>
      <w:r>
        <w:rPr>
          <w:rtl w:val="0"/>
        </w:rPr>
        <w:t xml:space="preserve">e viés e, subsequentemente, aplica a função de ativação sigmoide. Uma vez que a sigmoide produz valores entre 0 e 1, este output funciona como um percentual da memória de longo prazo que será retida, um output de 0 indica esquecimento completo da memória.​</w:t>
      </w:r>
      <w:r/>
    </w:p>
    <w:p>
      <w:pPr>
        <w:pBdr/>
        <w:spacing/>
        <w:ind/>
        <w:rPr/>
      </w:pPr>
      <w:r>
        <w:rPr>
          <w:rtl w:val="0"/>
        </w:rPr>
        <w:t xml:space="preserve">O segundo estágio atualiza a memória de longo prazo através de um processo bifurcado. Inicialmente, cria-se uma memória de longo prazo "potencial" mediante a combinação da memória</w:t>
      </w:r>
      <w:r>
        <w:rPr>
          <w:rtl w:val="0"/>
        </w:rPr>
        <w:t xml:space="preserve"> de curto prazo e do input através de pesos e da função de ativação tangente, produzindo um valor entre -1 e 1. Simultaneamente, outra porta sigmoide determina qual percentual desta memória potencial deve ser adicionado à memória de longo prazo existente. </w:t>
      </w:r>
      <w:r/>
    </w:p>
    <w:p>
      <w:pPr>
        <w:pBdr/>
        <w:spacing/>
        <w:ind/>
        <w:rPr/>
      </w:pPr>
      <w:r>
        <w:rPr>
          <w:rtl w:val="0"/>
        </w:rPr>
        <w:t xml:space="preserve">O estágio final atualiza a memória de curto prazo. A nova memória de longo prazo atravessa a função de ativação t</w:t>
      </w:r>
      <w:r>
        <w:rPr>
          <w:rtl w:val="0"/>
        </w:rPr>
        <w:t xml:space="preserve">angente para gerar uma memória de curto prazo potencial, e uma porta sigmoide determina qual percentual desta memória potencial se converte na nova memória de curto prazo. Esta nova memória de curto prazo também constitui o output da unidade LSTM completa.</w:t>
      </w:r>
      <w:r/>
    </w:p>
    <w:p>
      <w:pPr>
        <w:pBdr/>
        <w:spacing/>
        <w:ind/>
        <w:rPr/>
      </w:pPr>
      <w:r>
        <w:rPr>
          <w:rtl w:val="0"/>
        </w:rPr>
      </w:r>
      <w:r/>
    </w:p>
    <w:p>
      <w:pPr>
        <w:pBdr/>
        <w:tabs>
          <w:tab w:val="left" w:leader="none" w:pos="1182"/>
          <w:tab w:val="left" w:leader="none" w:pos="1182"/>
          <w:tab w:val="left" w:leader="none" w:pos="1182"/>
        </w:tabs>
        <w:spacing/>
        <w:ind/>
        <w:rPr/>
      </w:pPr>
      <w:r>
        <w:rPr>
          <w:rtl w:val="0"/>
        </w:rPr>
      </w:r>
      <w:r/>
    </w:p>
    <w:p>
      <w:pPr>
        <w:pStyle w:val="713"/>
        <w:pBdr/>
        <w:tabs>
          <w:tab w:val="left" w:leader="none" w:pos="1182"/>
          <w:tab w:val="left" w:leader="none" w:pos="1182"/>
          <w:tab w:val="left" w:leader="none" w:pos="1182"/>
        </w:tabs>
        <w:spacing/>
        <w:ind w:firstLine="102"/>
        <w:rPr/>
      </w:pPr>
      <w:r/>
      <w:bookmarkStart w:id="9" w:name="_heading=h.dumx3vwnp9a7"/>
      <w:r/>
      <w:bookmarkEnd w:id="9"/>
      <w:r>
        <w:rPr>
          <w:rtl w:val="0"/>
        </w:rPr>
        <w:t xml:space="preserve">3.3 CONSTRUÇÃO DE PORTFÓLIO  </w:t>
      </w:r>
      <w:r/>
    </w:p>
    <w:p>
      <w:pPr>
        <w:pBdr/>
        <w:tabs>
          <w:tab w:val="left" w:leader="none" w:pos="1182"/>
          <w:tab w:val="left" w:leader="none" w:pos="1182"/>
          <w:tab w:val="left" w:leader="none" w:pos="1182"/>
        </w:tabs>
        <w:spacing/>
        <w:ind/>
        <w:rPr>
          <w:vertAlign w:val="baseline"/>
        </w:rPr>
      </w:pPr>
      <w:r>
        <w:rPr>
          <w:vertAlign w:val="baseline"/>
          <w:rtl w:val="0"/>
        </w:rPr>
        <w:t xml:space="preserve">A publicação do trabalho "Portfolio Selection" por Markowitz em 1952 marcou o surgimento da análise de média-variância de carteiras, uma inovação que revolucionou o processo de alocação de ativos.</w:t>
      </w:r>
      <w:r>
        <w:rPr>
          <w:vertAlign w:val="baseline"/>
          <w:rtl w:val="0"/>
        </w:rPr>
        <w:t xml:space="preserve"> </w:t>
      </w:r>
      <w:r>
        <w:rPr>
          <w:vertAlign w:val="baseline"/>
          <w:rtl w:val="0"/>
        </w:rPr>
        <w:t xml:space="preserve">Esse novo paradigma, denominado otimização, propôs que os investidores deveriam avaliar a melhor composição de carteira considerando a relação entre o retorno esperado e o risco (variância) de um investimento.</w:t>
      </w:r>
      <w:r>
        <w:rPr>
          <w:vertAlign w:val="baseline"/>
          <w:rtl w:val="0"/>
        </w:rPr>
        <w:t xml:space="preserve"> </w:t>
      </w:r>
      <w:r>
        <w:rPr>
          <w:vertAlign w:val="baseline"/>
          <w:rtl w:val="0"/>
        </w:rPr>
        <w:t xml:space="preserve">O conceito de "melhor" implica, para um determinado nível de variância, a escolha da carteira com o maior retorno esperado possível, ou, inversamente, para um retorno esperado fixo, a seleção da carteira com a menor variância.</w:t>
      </w:r>
      <w:r>
        <w:rPr>
          <w:vertAlign w:val="baseline"/>
          <w:rtl w:val="0"/>
        </w:rPr>
        <w:t xml:space="preserve"> </w:t>
      </w:r>
      <w:r>
        <w:rPr>
          <w:vertAlign w:val="baseline"/>
          <w:rtl w:val="0"/>
        </w:rPr>
        <w:t xml:space="preserve">Essa mudança foi crucial, deslocando o foco da avaliação de ativos individuais para uma visão sistemática, que prioriza a diversificação e a relação risco-retorno, com a covariância entre ativos ganhando destaque sobre as variâncias individuais.</w:t>
      </w:r>
      <w:r>
        <w:rPr>
          <w:rtl w:val="0"/>
        </w:rPr>
      </w:r>
      <w:r>
        <w:rPr>
          <w:vertAlign w:val="baseline"/>
        </w:rPr>
      </w:r>
    </w:p>
    <w:p>
      <w:pPr>
        <w:pBdr/>
        <w:tabs>
          <w:tab w:val="left" w:leader="none" w:pos="1182"/>
          <w:tab w:val="left" w:leader="none" w:pos="1182"/>
          <w:tab w:val="left" w:leader="none" w:pos="1182"/>
        </w:tabs>
        <w:spacing/>
        <w:ind/>
        <w:rPr>
          <w:vertAlign w:val="baseline"/>
        </w:rPr>
      </w:pPr>
      <w:r>
        <w:rPr>
          <w:vertAlign w:val="baseline"/>
          <w:rtl w:val="0"/>
        </w:rPr>
        <w:t xml:space="preserve">Apesar de seu impacto positivo, o modelo de Markowitz ainda enfrenta ceticismo por parte de gestores, principalmente devido à dificuldade em obter estimativas precisas para os retornos esperados e a matriz de covariância.</w:t>
      </w:r>
      <w:r>
        <w:rPr>
          <w:vertAlign w:val="baseline"/>
          <w:rtl w:val="0"/>
        </w:rPr>
        <w:t xml:space="preserve"> </w:t>
      </w:r>
      <w:r>
        <w:rPr>
          <w:vertAlign w:val="baseline"/>
          <w:rtl w:val="0"/>
        </w:rPr>
        <w:t xml:space="preserve">Modelos convencionais, frequentemente baseados em máxima verossimilhança (conforme DeMiguel e Nogalas, 2009), são sensíveis a desvios de distribuição, pois tipicamente assumem a hipótese de normalidade.</w:t>
      </w:r>
      <w:r>
        <w:rPr>
          <w:rtl w:val="0"/>
        </w:rPr>
      </w:r>
      <w:r>
        <w:rPr>
          <w:vertAlign w:val="baseline"/>
        </w:rPr>
      </w:r>
    </w:p>
    <w:p>
      <w:pPr>
        <w:pBdr/>
        <w:tabs>
          <w:tab w:val="left" w:leader="none" w:pos="1182"/>
          <w:tab w:val="left" w:leader="none" w:pos="1182"/>
          <w:tab w:val="left" w:leader="none" w:pos="1182"/>
        </w:tabs>
        <w:spacing/>
        <w:ind/>
        <w:rPr>
          <w:vertAlign w:val="baseline"/>
        </w:rPr>
      </w:pPr>
      <w:r>
        <w:rPr>
          <w:vertAlign w:val="baseline"/>
          <w:rtl w:val="0"/>
        </w:rPr>
        <w:t xml:space="preserve">Estudos na literatura questionam a eficácia da suposição de normalidade dos retornos na seleção de carteiras, indicando que ela pode gerar erros de estimação que prejudicam a construção dos portfólios.</w:t>
      </w:r>
      <w:r>
        <w:rPr>
          <w:vertAlign w:val="baseline"/>
          <w:rtl w:val="0"/>
        </w:rPr>
        <w:t xml:space="preserve"> </w:t>
      </w:r>
      <w:r>
        <w:rPr>
          <w:vertAlign w:val="baseline"/>
          <w:rtl w:val="0"/>
        </w:rPr>
        <w:t xml:space="preserve">Pesquisas de Michaud (1989), Best e Grauer (1991) e Mendes e Leal (2005) demonstraram que pequenas alterações nos inputs (cálculos matriciais de covariância e retornos esperados) afetam drasticamente a distribuição de pesos na carteira ótima.</w:t>
      </w:r>
      <w:r>
        <w:rPr>
          <w:vertAlign w:val="baseline"/>
          <w:rtl w:val="0"/>
        </w:rPr>
        <w:t xml:space="preserve"> </w:t>
      </w:r>
      <w:r>
        <w:rPr>
          <w:vertAlign w:val="baseline"/>
          <w:rtl w:val="0"/>
        </w:rPr>
        <w:t xml:space="preserve">Revisando o trabalho de DeMiguel e Nogales (2009), constatou-se que carteiras construídas com estimadores enviesados apresentam desempenho inferior em comparação àquelas com estimadores não viesados.</w:t>
      </w:r>
      <w:r>
        <w:rPr>
          <w:rtl w:val="0"/>
        </w:rPr>
      </w:r>
      <w:r>
        <w:rPr>
          <w:vertAlign w:val="baseline"/>
        </w:rPr>
      </w:r>
    </w:p>
    <w:p>
      <w:pPr>
        <w:pBdr/>
        <w:tabs>
          <w:tab w:val="left" w:leader="none" w:pos="1182"/>
          <w:tab w:val="left" w:leader="none" w:pos="1182"/>
          <w:tab w:val="left" w:leader="none" w:pos="1182"/>
        </w:tabs>
        <w:spacing/>
        <w:ind/>
        <w:rPr>
          <w:vertAlign w:val="baseline"/>
        </w:rPr>
      </w:pPr>
      <w:r>
        <w:rPr>
          <w:vertAlign w:val="baseline"/>
          <w:rtl w:val="0"/>
        </w:rPr>
        <w:t xml:space="preserve">Em um esforço para</w:t>
      </w:r>
      <w:r>
        <w:rPr>
          <w:vertAlign w:val="baseline"/>
          <w:rtl w:val="0"/>
        </w:rPr>
        <w:t xml:space="preserve"> superar essas limitações, Almeida et al. (2001) compararam o modelo clássico de Otimização Média-Variância (MVO), que utiliza apenas variações de preço passadas, com um modelo de rede neural Autorregressivo para previsão de preços de 66 ações do Ibovespa.</w:t>
      </w:r>
      <w:r>
        <w:rPr>
          <w:vertAlign w:val="baseline"/>
          <w:rtl w:val="0"/>
        </w:rPr>
        <w:t xml:space="preserve"> </w:t>
      </w:r>
      <w:r>
        <w:rPr>
          <w:vertAlign w:val="baseline"/>
          <w:rtl w:val="0"/>
        </w:rPr>
        <w:t xml:space="preserve">O resultado evidenciou a superioridade da carteira que empregou redes neurais em termos de rentabilidade, corroborando o uso de Machine Learning na seleção de carteiras.</w:t>
      </w:r>
      <w:r>
        <w:rPr>
          <w:rtl w:val="0"/>
        </w:rPr>
      </w:r>
      <w:r>
        <w:rPr>
          <w:vertAlign w:val="baseline"/>
        </w:rPr>
      </w:r>
    </w:p>
    <w:p>
      <w:pPr>
        <w:pBdr/>
        <w:tabs>
          <w:tab w:val="left" w:leader="none" w:pos="1182"/>
          <w:tab w:val="left" w:leader="none" w:pos="1182"/>
          <w:tab w:val="left" w:leader="none" w:pos="1182"/>
        </w:tabs>
        <w:spacing/>
        <w:ind/>
        <w:rPr/>
      </w:pPr>
      <w:r>
        <w:rPr>
          <w:rtl w:val="0"/>
        </w:rPr>
      </w:r>
      <w:r/>
    </w:p>
    <w:p>
      <w:pPr>
        <w:pStyle w:val="713"/>
        <w:pBdr/>
        <w:tabs>
          <w:tab w:val="left" w:leader="none" w:pos="1182"/>
          <w:tab w:val="left" w:leader="none" w:pos="1182"/>
          <w:tab w:val="left" w:leader="none" w:pos="1182"/>
        </w:tabs>
        <w:spacing/>
        <w:ind w:firstLine="0" w:left="0"/>
        <w:rPr/>
      </w:pPr>
      <w:r/>
      <w:bookmarkStart w:id="10" w:name="_heading=h.tdpzfgzbqqoa"/>
      <w:r/>
      <w:bookmarkEnd w:id="10"/>
      <w:r>
        <w:rPr>
          <w:rtl w:val="0"/>
        </w:rPr>
        <w:t xml:space="preserve">2.3.1 ÍNDICE DE SHARPE</w:t>
      </w:r>
      <w:r/>
    </w:p>
    <w:p>
      <w:pPr>
        <w:pBdr/>
        <w:tabs>
          <w:tab w:val="left" w:leader="none" w:pos="1182"/>
          <w:tab w:val="left" w:leader="none" w:pos="1182"/>
          <w:tab w:val="left" w:leader="none" w:pos="1182"/>
        </w:tabs>
        <w:spacing/>
        <w:ind/>
        <w:rPr/>
      </w:pPr>
      <w:r>
        <w:rPr>
          <w:rtl w:val="0"/>
        </w:rPr>
        <w:t xml:space="preserve">Com o mesmo nome do seu criador, o índice de Sharpe, introduzido por Sharpe (1966),  é a medida de</w:t>
      </w:r>
      <w:r>
        <w:rPr>
          <w:rtl w:val="0"/>
        </w:rPr>
        <w:t xml:space="preserve"> retorno ajustado pelo risco usada comumente para comparar ao desempenho de  investimentos.  O índice de Sharpe de um portfólio também pode ser entendido como a relação entre o  retorno e o risco, sendo este ligado à medição do desvio padrão. O quadrado</w:t>
      </w:r>
      <w:r>
        <w:rPr>
          <w:rtl w:val="0"/>
        </w:rPr>
        <w:t xml:space="preserve"> do desvio padrão  é a variância, medida utilizada por Markowitz. O índice de Sharpe mede o retorno esperado  pelo portfólio acima da taxa livre de risco por unidade de risco total assumido, ou seja, por  unidade de volatilidade dos retornos do portfólio:</w:t>
      </w:r>
      <w:r/>
    </w:p>
    <w:p>
      <w:pPr>
        <w:pBdr/>
        <w:tabs>
          <w:tab w:val="left" w:leader="none" w:pos="1182"/>
          <w:tab w:val="left" w:leader="none" w:pos="1182"/>
          <w:tab w:val="left" w:leader="none" w:pos="1182"/>
        </w:tabs>
        <w:spacing/>
        <w:ind/>
        <w:rPr/>
      </w:pPr>
      <w:r>
        <w:rPr>
          <w:rtl w:val="0"/>
        </w:rPr>
      </w:r>
      <w:r/>
    </w:p>
    <w:p>
      <w:pPr>
        <w:pStyle w:val="713"/>
        <w:pBdr/>
        <w:tabs>
          <w:tab w:val="left" w:leader="none" w:pos="1182"/>
          <w:tab w:val="left" w:leader="none" w:pos="1182"/>
          <w:tab w:val="left" w:leader="none" w:pos="1182"/>
        </w:tabs>
        <w:spacing w:after="160"/>
        <w:ind w:firstLine="0" w:left="0"/>
        <w:jc w:val="center"/>
        <w:rPr/>
      </w:pPr>
      <w:r/>
      <w:bookmarkStart w:id="11" w:name="_heading=h.kzgf5yj4ec04"/>
      <w:r/>
      <w:bookmarkEnd w:id="11"/>
      <w:r>
        <w:rPr>
          <w:rtl w:val="0"/>
        </w:rPr>
        <w:t xml:space="preserve">                          </w:t>
      </w:r>
      <w:r>
        <w:rPr>
          <w:rtl w:val="0"/>
        </w:rPr>
        <w:t xml:space="preserve"> </w:t>
      </w:r>
      <w:r>
        <mc:AlternateContent>
          <mc:Choice Requires="wpg">
            <w:drawing>
              <wp:inline xmlns:wp="http://schemas.openxmlformats.org/drawingml/2006/wordprocessingDrawing" distT="0" distB="0" distL="0" distR="0">
                <wp:extent cx="2333625" cy="7620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21"/>
                        <a:srcRect l="0" t="0" r="0" b="0"/>
                        <a:stretch/>
                      </pic:blipFill>
                      <pic:spPr bwMode="auto">
                        <a:xfrm>
                          <a:off x="0" y="0"/>
                          <a:ext cx="2333625" cy="76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83.75pt;height:60.00pt;mso-wrap-distance-left:0.00pt;mso-wrap-distance-top:0.00pt;mso-wrap-distance-right:0.00pt;mso-wrap-distance-bottom:0.00pt;z-index:1;">
                <v:imagedata r:id="rId21" o:title="" croptop="0f" cropleft="0f" cropbottom="0f" cropright="0f"/>
                <o:lock v:ext="edit" rotation="t"/>
              </v:shape>
            </w:pict>
          </mc:Fallback>
        </mc:AlternateContent>
      </w:r>
      <w:r>
        <w:rPr>
          <w:rtl w:val="0"/>
        </w:rPr>
      </w:r>
      <w:r/>
    </w:p>
    <w:p>
      <w:pPr>
        <w:pBdr/>
        <w:tabs>
          <w:tab w:val="left" w:leader="none" w:pos="1182"/>
          <w:tab w:val="left" w:leader="none" w:pos="1182"/>
          <w:tab w:val="left" w:leader="none" w:pos="1182"/>
        </w:tabs>
        <w:spacing/>
        <w:ind/>
        <w:rPr/>
      </w:pPr>
      <w:r>
        <w:rPr>
          <w:rtl w:val="0"/>
        </w:rPr>
        <w:t xml:space="preserve">onde: Sp é o índice de Sharpe do portfólio, E(Rp) é o retorno esperado do portfólio, Rf é o retorno  do ativo livre de risco e õ(Rp) é o desvio padrão dos retornos do portfólio.</w:t>
      </w:r>
      <w:r>
        <w:rPr>
          <w:rtl w:val="0"/>
        </w:rPr>
      </w:r>
      <w:r/>
    </w:p>
    <w:p>
      <w:pPr>
        <w:pStyle w:val="713"/>
        <w:pBdr/>
        <w:tabs>
          <w:tab w:val="left" w:leader="none" w:pos="1182"/>
          <w:tab w:val="left" w:leader="none" w:pos="1182"/>
          <w:tab w:val="left" w:leader="none" w:pos="1182"/>
        </w:tabs>
        <w:spacing w:after="160"/>
        <w:ind w:firstLine="102"/>
        <w:rPr/>
      </w:pPr>
      <w:r/>
      <w:bookmarkStart w:id="12" w:name="_heading=h.fozdn9dma97e"/>
      <w:r/>
      <w:bookmarkEnd w:id="12"/>
      <w:r>
        <w:rPr>
          <w:rtl w:val="0"/>
        </w:rPr>
        <w:t xml:space="preserve">4 METODOLOGIA</w:t>
      </w:r>
      <w:r/>
    </w:p>
    <w:p>
      <w:pPr>
        <w:pBdr/>
        <w:spacing/>
        <w:ind/>
        <w:rPr/>
      </w:pPr>
      <w:r>
        <w:rPr>
          <w:rtl w:val="0"/>
        </w:rPr>
        <w:t xml:space="preserve">Neste capítulo é detalhada a metodologia utilizada no trabalho, sendo descritas as etapas  necessárias para concretização do objetivo desta dissertação, a construção de portfólios  eficientes utilizando as técnicas</w:t>
      </w:r>
      <w:r>
        <w:rPr>
          <w:rtl w:val="0"/>
        </w:rPr>
        <w:t xml:space="preserve"> propostas.  Neste trabalho procuramos examinar a aplicação do modelo proposto e avaliar o seu  desempenho fora da amostra, que são os dados não vistos pelo modelo de aprendizagem, que  neste contexto corresponde aos retornos do período dos ultimos anos</w:t>
      </w:r>
      <w:r>
        <w:rPr>
          <w:rtl w:val="0"/>
        </w:rPr>
        <w:t xml:space="preserve"> utilizando uma carteira composta por ações que fazem parte do Ibovespa. Estes portfólios foram  criados a partir dos retornos das ações, de índices de análise técnica, do modelo d</w:t>
      </w:r>
      <w:r>
        <w:rPr>
          <w:rtl w:val="0"/>
        </w:rPr>
        <w:t xml:space="preserve">e machine  learning LSTM e da técnica de média variância proposta por Markowitz.  Após montadas as  carteiras, não foi feito nenhum tipo de rebalanceamento de carteira.  Este método conhecido como buy and hold, foi adotado pela menor incidência de custos </w:t>
      </w:r>
      <w:r>
        <w:rPr>
          <w:rtl w:val="0"/>
        </w:rPr>
        <w:t xml:space="preserve">de  transação, taxas e impostos. Nesta técnica a carteira é fixa desde sua criação e assim sofre menor  interferência de fatores externos ao modelo proposto. Esta metodologia foi motivada e testada  nos trabalhos de Barber e Odean (2000) e Coelho (2020).</w:t>
      </w:r>
      <w:r/>
    </w:p>
    <w:p>
      <w:pPr>
        <w:pBdr/>
        <w:spacing/>
        <w:ind/>
        <w:rPr/>
      </w:pPr>
      <w:r>
        <w:rPr>
          <w:rtl w:val="0"/>
        </w:rPr>
        <w:t xml:space="preserve">A pesquisa vai ser estruturada da seguinte maneira: Coleta de dados relevantes, Análise técnica, elaboração do modelo com machine learning, Previsões e Resultados.</w:t>
      </w:r>
      <w:r/>
    </w:p>
    <w:p>
      <w:pPr>
        <w:pStyle w:val="714"/>
        <w:pBdr/>
        <w:spacing/>
        <w:ind/>
        <w:rPr/>
      </w:pPr>
      <w:r/>
      <w:bookmarkStart w:id="13" w:name="_heading=h.f369s6dp46mv"/>
      <w:r/>
      <w:bookmarkEnd w:id="13"/>
      <w:r>
        <w:rPr>
          <w:rtl w:val="0"/>
        </w:rPr>
        <w:t xml:space="preserve">3.1 SELEÇÃO DA BASE DE DADOS</w:t>
      </w:r>
      <w:r/>
    </w:p>
    <w:p>
      <w:pPr>
        <w:pBdr/>
        <w:spacing/>
        <w:ind/>
        <w:rPr/>
      </w:pPr>
      <w:r>
        <w:rPr>
          <w:rtl w:val="0"/>
        </w:rPr>
        <w:t xml:space="preserve">A amostra consiste nos dados das primeiras empresas do Ibovespa, ordenadas por  capitalização de mercado, para a composição do portfólio. Estas empresas foram escolhidas de  maneira arbitrária conforme a informaç</w:t>
      </w:r>
      <w:r>
        <w:rPr>
          <w:rtl w:val="0"/>
        </w:rPr>
        <w:t xml:space="preserve">ão disponibilizada no último dia útil do mês.. Através da plataforma Quantum Axis, foi possível a extração dos dados de preços de  abertura, fechamento, médio, todos estes três ajustados para proventos, e volume de negociação,  para as datas iniciais at</w:t>
      </w:r>
      <w:r>
        <w:rPr>
          <w:rtl w:val="0"/>
        </w:rPr>
        <w:t xml:space="preserve">é o último dia útil, para todos os ativos.  Para cada ação, foi construído, através de scripts em Python, variáveis  de análise técnica, que através da  análise do modelo teriam o intuito de apoiar o processo de previsão para o preço da ação no  futuro.</w:t>
      </w:r>
      <w:r/>
    </w:p>
    <w:p>
      <w:pPr>
        <w:pStyle w:val="714"/>
        <w:pBdr/>
        <w:spacing/>
        <w:ind w:firstLine="102"/>
        <w:rPr/>
      </w:pPr>
      <w:r/>
      <w:bookmarkStart w:id="14" w:name="_heading=h.p9b97e6vcugz"/>
      <w:r/>
      <w:bookmarkEnd w:id="14"/>
      <w:r>
        <w:rPr>
          <w:rtl w:val="0"/>
        </w:rPr>
        <w:t xml:space="preserve">3.3 PREVISÕES </w:t>
      </w:r>
      <w:r/>
    </w:p>
    <w:p>
      <w:pPr>
        <w:pBdr/>
        <w:spacing/>
        <w:ind/>
        <w:rPr>
          <w:highlight w:val="yellow"/>
          <w:vertAlign w:val="baseline"/>
        </w:rPr>
      </w:pPr>
      <w:r>
        <w:rPr>
          <w:highlight w:val="yellow"/>
          <w:vertAlign w:val="baseline"/>
          <w:rtl w:val="0"/>
        </w:rPr>
        <w:t xml:space="preserve">Embora a literatura careça de referências diretas sobre a janela de previsão ideal para cada modelo, negócio ou área específica, a análise de diversos estudos e pesquisas permitiu identificar janelas nas quais os modelos demons</w:t>
      </w:r>
      <w:r>
        <w:rPr>
          <w:highlight w:val="yellow"/>
          <w:vertAlign w:val="baseline"/>
          <w:rtl w:val="0"/>
        </w:rPr>
        <w:t xml:space="preserve">tram melhor desempenho. Por exemplo, Majidi et al. (2018) conduziram testes com várias janelas de previsão para preços de ações em diferentes modelos de machine learning, concluindo que janelas com mais de dez passos resultam em modelos com erros elevados.</w:t>
      </w:r>
      <w:r>
        <w:rPr>
          <w:highlight w:val="yellow"/>
          <w:vertAlign w:val="baseline"/>
        </w:rPr>
      </w:r>
    </w:p>
    <w:p>
      <w:pPr>
        <w:pBdr/>
        <w:spacing/>
        <w:ind/>
        <w:rPr>
          <w:highlight w:val="yellow"/>
          <w:vertAlign w:val="baseline"/>
        </w:rPr>
      </w:pPr>
      <w:r>
        <w:rPr>
          <w:highlight w:val="yellow"/>
          <w:vertAlign w:val="baseline"/>
          <w:rtl w:val="0"/>
        </w:rPr>
        <w:t xml:space="preserve">Um consenso emerge da análise de trabalhos de Holder et al. (2018), Finkelstein e Jeong (20</w:t>
      </w:r>
      <w:r>
        <w:rPr>
          <w:highlight w:val="yellow"/>
          <w:vertAlign w:val="baseline"/>
          <w:rtl w:val="0"/>
        </w:rPr>
        <w:t xml:space="preserve">17), Cheng et al. (2006), Dong e Li (2017) e Majidi et al. (2018). Todos esses estudos, que empregam modelos de machine learning para diversas previsões em múltiplos campos de atuação, convergem para a utilização de janelas de previsão de até dez períodos.</w:t>
      </w:r>
      <w:r>
        <w:rPr>
          <w:highlight w:val="yellow"/>
          <w:vertAlign w:val="baseline"/>
        </w:rPr>
      </w:r>
    </w:p>
    <w:p>
      <w:pPr>
        <w:pBdr/>
        <w:spacing/>
        <w:ind/>
        <w:rPr>
          <w:highlight w:val="yellow"/>
          <w:vertAlign w:val="baseline"/>
        </w:rPr>
      </w:pPr>
      <w:r>
        <w:rPr>
          <w:highlight w:val="yellow"/>
          <w:vertAlign w:val="baseline"/>
          <w:rtl w:val="0"/>
        </w:rPr>
        <w:t xml:space="preserve">Nesta fase de treinamento, os parâmetros do modelo são definidos em conjunto com os dados de entrada. Foram construídos </w:t>
      </w:r>
      <w:r>
        <w:rPr>
          <w:highlight w:val="yellow"/>
          <w:vertAlign w:val="baseline"/>
          <w:rtl w:val="0"/>
        </w:rPr>
        <w:t xml:space="preserve">três modelos de previsão distintos, cada um utilizando os mesmos dados de treinamento, mas variando na janela de previsão (neste trabalho, 3, 4 e 5 dias). Essa variação, naturalmente, resulta em três modelos que produzirão previsões de retornos diferentes.</w:t>
      </w:r>
      <w:r>
        <w:rPr>
          <w:highlight w:val="yellow"/>
          <w:vertAlign w:val="baseline"/>
        </w:rPr>
      </w:r>
    </w:p>
    <w:p>
      <w:pPr>
        <w:pBdr/>
        <w:spacing/>
        <w:ind/>
        <w:rPr>
          <w:highlight w:val="yellow"/>
        </w:rPr>
      </w:pPr>
      <w:r>
        <w:rPr>
          <w:highlight w:val="yellow"/>
          <w:vertAlign w:val="baseline"/>
          <w:rtl w:val="0"/>
        </w:rPr>
        <w:t xml:space="preserve">Após a construção dos modelos, as previsões são efetuadas. Para isso, são fornecidos novos dados de tes</w:t>
      </w:r>
      <w:r>
        <w:rPr>
          <w:highlight w:val="yellow"/>
          <w:rtl w:val="0"/>
        </w:rPr>
        <w:t xml:space="preserve">te </w:t>
      </w:r>
      <w:r>
        <w:rPr>
          <w:highlight w:val="yellow"/>
          <w:vertAlign w:val="baseline"/>
          <w:rtl w:val="0"/>
        </w:rPr>
        <w:t xml:space="preserve">que são os valores a serem previstos pelos três modelos. Dessa forma, o modelo recebe os valores de </w:t>
      </w:r>
      <w:r>
        <w:rPr>
          <w:highlight w:val="yellow"/>
          <w:rtl w:val="0"/>
        </w:rPr>
      </w:r>
      <w:r>
        <w:rPr>
          <w:highlight w:val="yellow"/>
        </w:rPr>
      </w:r>
    </w:p>
    <w:p>
      <w:pPr>
        <w:pBdr/>
        <w:spacing/>
        <w:ind/>
        <w:rPr>
          <w:highlight w:val="yellow"/>
        </w:rPr>
      </w:pPr>
      <w:r>
        <w:rPr>
          <w:highlight w:val="yellow"/>
          <w:vertAlign w:val="baseline"/>
          <w:rtl w:val="0"/>
        </w:rPr>
        <w:t xml:space="preserve">A acurácia do modelo LSTM é avaliada com base nos valores previstos a partir de dados passados. O processo consiste em alimentar o modelo com a última previsão,</w:t>
      </w:r>
      <w:r>
        <w:rPr>
          <w:highlight w:val="yellow"/>
          <w:vertAlign w:val="baseline"/>
          <w:rtl w:val="0"/>
        </w:rPr>
        <w:t xml:space="preserve"> que corresponde à última entrada de dados da base de treinamento, para então gerar uma previsão que representará o próximo preço de fechamento ajustado. Os valores previstos são armazenados como P0, e o processo iterativo prossegue: P0 é fornecido ao mode</w:t>
      </w:r>
      <w:r>
        <w:rPr>
          <w:highlight w:val="yellow"/>
          <w:vertAlign w:val="baseline"/>
          <w:rtl w:val="0"/>
        </w:rPr>
        <w:t xml:space="preserve">lo LSTM para prever P1, e assim sucessivamente, até que o número desejado de previsões seja atingido. Este processo continua, após a conclusão da primeira janela de previsão, observando os valores já previstos por toda a extensão da base de dados de teste.</w:t>
      </w:r>
      <w:r>
        <w:rPr>
          <w:highlight w:val="yellow"/>
          <w:rtl w:val="0"/>
        </w:rPr>
      </w:r>
      <w:r>
        <w:rPr>
          <w:highlight w:val="yellow"/>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121" w:firstLine="618" w:left="102"/>
        <w:jc w:val="both"/>
        <w:rPr/>
      </w:pPr>
      <w:r>
        <w:rPr>
          <w:rtl w:val="0"/>
        </w:rPr>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121" w:firstLine="618" w:left="102"/>
        <w:jc w:val="both"/>
        <w:rPr/>
      </w:pPr>
      <w:r>
        <w:rPr>
          <w:rtl w:val="0"/>
        </w:rPr>
      </w:r>
      <w:r/>
    </w:p>
    <w:p>
      <w:pPr>
        <w:pStyle w:val="713"/>
        <w:pBdr/>
        <w:tabs>
          <w:tab w:val="left" w:leader="none" w:pos="1182"/>
          <w:tab w:val="left" w:leader="none" w:pos="1182"/>
          <w:tab w:val="left" w:leader="none" w:pos="1182"/>
          <w:tab w:val="left" w:leader="none" w:pos="1182"/>
          <w:tab w:val="left" w:leader="none" w:pos="1182"/>
        </w:tabs>
        <w:spacing w:before="90"/>
        <w:ind w:firstLine="0" w:left="0"/>
        <w:rPr/>
      </w:pPr>
      <w:r>
        <w:rPr>
          <w:rtl w:val="0"/>
        </w:rPr>
      </w:r>
      <w:r/>
    </w:p>
    <w:p>
      <w:pPr>
        <w:pStyle w:val="713"/>
        <w:pBdr/>
        <w:tabs>
          <w:tab w:val="left" w:leader="none" w:pos="1182"/>
          <w:tab w:val="left" w:leader="none" w:pos="1182"/>
          <w:tab w:val="left" w:leader="none" w:pos="1182"/>
          <w:tab w:val="left" w:leader="none" w:pos="1182"/>
          <w:tab w:val="left" w:leader="none" w:pos="1182"/>
        </w:tabs>
        <w:spacing w:before="90"/>
        <w:ind w:firstLine="0" w:left="0"/>
        <w:rPr/>
      </w:pPr>
      <w:r>
        <w:rPr>
          <w:rtl w:val="0"/>
        </w:rPr>
      </w:r>
      <w:r/>
    </w:p>
    <w:p>
      <w:pPr>
        <w:pStyle w:val="713"/>
        <w:pBdr/>
        <w:tabs>
          <w:tab w:val="left" w:leader="none" w:pos="1182"/>
          <w:tab w:val="left" w:leader="none" w:pos="1182"/>
          <w:tab w:val="left" w:leader="none" w:pos="1182"/>
          <w:tab w:val="left" w:leader="none" w:pos="1182"/>
          <w:tab w:val="left" w:leader="none" w:pos="1182"/>
        </w:tabs>
        <w:spacing w:before="90"/>
        <w:ind w:firstLine="0" w:left="0"/>
        <w:rPr/>
      </w:pPr>
      <w:r>
        <w:rPr>
          <w:rtl w:val="0"/>
        </w:rPr>
      </w:r>
      <w:r/>
    </w:p>
    <w:p>
      <w:pPr>
        <w:pStyle w:val="713"/>
        <w:pBdr/>
        <w:tabs>
          <w:tab w:val="left" w:leader="none" w:pos="1182"/>
          <w:tab w:val="left" w:leader="none" w:pos="1182"/>
          <w:tab w:val="left" w:leader="none" w:pos="1182"/>
          <w:tab w:val="left" w:leader="none" w:pos="1182"/>
          <w:tab w:val="left" w:leader="none" w:pos="1182"/>
        </w:tabs>
        <w:spacing w:before="90"/>
        <w:ind w:firstLine="0" w:left="0"/>
        <w:rPr/>
      </w:pPr>
      <w:r>
        <w:rPr>
          <w:rtl w:val="0"/>
        </w:rPr>
      </w:r>
      <w:r/>
    </w:p>
    <w:p>
      <w:pPr>
        <w:pStyle w:val="713"/>
        <w:pBdr/>
        <w:tabs>
          <w:tab w:val="left" w:leader="none" w:pos="1182"/>
          <w:tab w:val="left" w:leader="none" w:pos="1182"/>
          <w:tab w:val="left" w:leader="none" w:pos="1182"/>
          <w:tab w:val="left" w:leader="none" w:pos="1182"/>
          <w:tab w:val="left" w:leader="none" w:pos="1182"/>
        </w:tabs>
        <w:spacing w:before="90"/>
        <w:ind w:firstLine="0" w:left="0"/>
        <w:rPr/>
      </w:pPr>
      <w:r>
        <w:rPr>
          <w:rtl w:val="0"/>
        </w:rPr>
        <w:t xml:space="preserve">REFERÊNCIAS BIBLIOGRÁFICAS</w:t>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6"/>
          <w:szCs w:val="26"/>
          <w:u w:val="none"/>
          <w:shd w:val="clear" w:color="auto" w:fill="auto"/>
          <w:vertAlign w:val="baseline"/>
        </w:rP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6" w:line="240" w:lineRule="auto"/>
        <w:ind w:right="0" w:firstLine="0" w:left="0"/>
        <w:jc w:val="left"/>
        <w:rPr>
          <w:rFonts w:ascii="Times New Roman" w:hAnsi="Times New Roman" w:eastAsia="Times New Roman" w:cs="Times New Roman"/>
          <w:b/>
          <w:bCs/>
          <w:i w:val="0"/>
          <w:iCs w:val="0"/>
          <w:smallCaps w:val="0"/>
          <w:strike w:val="0"/>
          <w:color w:val="000000"/>
          <w:sz w:val="21"/>
          <w:szCs w:val="21"/>
          <w:u w:val="none"/>
          <w:shd w:val="clear" w:color="auto" w:fill="auto"/>
          <w:vertAlign w:val="baseline"/>
        </w:rPr>
      </w:pPr>
      <w:r>
        <w:rPr>
          <w:rtl w:val="0"/>
        </w:rPr>
      </w:r>
      <w:r>
        <w:rPr>
          <w:rFonts w:ascii="Times New Roman" w:hAnsi="Times New Roman" w:eastAsia="Times New Roman" w:cs="Times New Roman"/>
          <w:b/>
          <w:bCs/>
          <w:i w:val="0"/>
          <w:iCs w:val="0"/>
          <w:smallCaps w:val="0"/>
          <w:strike w:val="0"/>
          <w:color w:val="000000"/>
          <w:sz w:val="21"/>
          <w:szCs w:val="21"/>
          <w:u w:val="none"/>
          <w:shd w:val="clear" w:color="auto" w:fill="auto"/>
          <w:vertAlign w:val="baseline"/>
        </w:rPr>
      </w:r>
    </w:p>
    <w:p>
      <w:pPr>
        <w:widowControl w:val="true"/>
        <w:pBdr/>
        <w:spacing w:after="220" w:line="324" w:lineRule="auto"/>
        <w:ind w:right="0" w:firstLine="0" w:left="0"/>
        <w:rPr/>
      </w:pPr>
      <w:r>
        <w:rPr>
          <w:rtl w:val="0"/>
        </w:rPr>
        <w:t xml:space="preserve">BORBA, Mariane Furtado. Análise da generalização de algoritmos de machine learning e suas aplicações na otimização de decisões em saúde. Doutorado em Epidemiologia—São Paulo: Universidade de São Paulo, 19 maio 2023.</w:t>
      </w:r>
      <w:r/>
    </w:p>
    <w:p>
      <w:pPr>
        <w:widowControl w:val="true"/>
        <w:pBdr/>
        <w:spacing w:after="220" w:line="324" w:lineRule="auto"/>
        <w:ind w:right="0" w:firstLine="0" w:left="0"/>
        <w:rPr/>
      </w:pPr>
      <w:r>
        <w:rPr>
          <w:rtl w:val="0"/>
        </w:rPr>
        <w:t xml:space="preserve">HELENA, Flávio De Falcão E. Oportunidades no mercado imobiliário com aplicação de modelos de aprendizagem de máquina: um estudo de caso em São Paulo. Mestrado em Sistemas Eletrônicos—São Paulo: Universidade de São Paulo, 6 nov. 2023.</w:t>
      </w:r>
      <w:r/>
    </w:p>
    <w:p>
      <w:pPr>
        <w:widowControl w:val="true"/>
        <w:pBdr/>
        <w:spacing w:after="220" w:line="324" w:lineRule="auto"/>
        <w:ind w:right="0" w:firstLine="0" w:left="0"/>
        <w:rPr/>
      </w:pPr>
      <w:r>
        <w:rPr>
          <w:rtl w:val="0"/>
        </w:rPr>
        <w:t xml:space="preserve">LIRA, Thiago Ildeu Albuquerque. Modelos Neurais para Regressão em Séries Temporais. </w:t>
      </w:r>
      <w:r>
        <w:rPr>
          <w:i/>
          <w:iCs/>
          <w:rtl w:val="0"/>
        </w:rPr>
        <w:t xml:space="preserve">[S.d.]</w:t>
      </w:r>
      <w:r>
        <w:rPr>
          <w:rtl w:val="0"/>
        </w:rPr>
        <w:t xml:space="preserve">.</w:t>
      </w:r>
      <w:r/>
    </w:p>
    <w:p>
      <w:pPr>
        <w:widowControl w:val="true"/>
        <w:pBdr/>
        <w:spacing w:after="220" w:line="324" w:lineRule="auto"/>
        <w:ind w:right="0" w:firstLine="0" w:left="0"/>
        <w:rPr/>
      </w:pPr>
      <w:r>
        <w:rPr>
          <w:rtl w:val="0"/>
        </w:rPr>
        <w:t xml:space="preserve">MAIALY, André Cury; MARQUES, Alessandro Martim. ALGORITMOS DE MACHINE LEARNING EM ESTRATÉGIAS DE TRADING UMA ANÁLISE DA EFICIÊNCIA E APLICABILIDADE NO MERCADO FINANCEIRO. </w:t>
      </w:r>
      <w:r>
        <w:rPr>
          <w:i/>
          <w:iCs/>
          <w:rtl w:val="0"/>
        </w:rPr>
        <w:t xml:space="preserve">[S.d.]</w:t>
      </w:r>
      <w:r>
        <w:rPr>
          <w:rtl w:val="0"/>
        </w:rPr>
        <w:t xml:space="preserve">.</w:t>
      </w:r>
      <w:r/>
    </w:p>
    <w:p>
      <w:pPr>
        <w:widowControl w:val="true"/>
        <w:pBdr/>
        <w:spacing w:after="220" w:line="324" w:lineRule="auto"/>
        <w:ind w:right="0" w:firstLine="0" w:left="0"/>
        <w:rPr/>
      </w:pPr>
      <w:r>
        <w:rPr>
          <w:rtl w:val="0"/>
        </w:rPr>
        <w:t xml:space="preserve">MARTINS, Daniel Walter De Paula. Inteligência artificial aplicada em séries temporais. Mestrado em Estatística—São Paulo: Universidade de São Paulo, 22 mar. 2024.</w:t>
      </w:r>
      <w:r/>
    </w:p>
    <w:p>
      <w:pPr>
        <w:widowControl w:val="true"/>
        <w:pBdr/>
        <w:spacing w:after="220" w:line="324" w:lineRule="auto"/>
        <w:ind w:right="0" w:firstLine="0" w:left="0"/>
        <w:rPr/>
      </w:pPr>
      <w:r>
        <w:rPr>
          <w:rtl w:val="0"/>
        </w:rPr>
        <w:t xml:space="preserve">PINTO, Alex Cerqueira. INSTITUTO BRASILEIRO DE ENSINO, DESENVOLVIMENTO E PESQUISA MESTRADO PROFISSIONAL EM ECONOMIA. 2020.</w:t>
      </w:r>
      <w:r/>
    </w:p>
    <w:p>
      <w:pPr>
        <w:widowControl w:val="true"/>
        <w:pBdr/>
        <w:spacing w:after="160" w:line="324" w:lineRule="auto"/>
        <w:ind w:right="0" w:firstLine="0" w:left="0"/>
        <w:rPr/>
      </w:pPr>
      <w:r>
        <w:rPr>
          <w:rtl w:val="0"/>
        </w:rPr>
        <w:t xml:space="preserve">THEOHARIDIS, Alexandre Fernandes. Forecasting Inﬂation Using Deep Learning: An Application of Convolutional LSTM Networks and Variational Autoencoders. 2021. </w:t>
      </w:r>
      <w:r/>
    </w:p>
    <w:p>
      <w:pPr>
        <w:widowControl w:val="true"/>
        <w:pBdr/>
        <w:spacing w:after="160" w:line="324" w:lineRule="auto"/>
        <w:ind w:right="0" w:firstLine="0" w:left="0"/>
        <w:rPr/>
      </w:pPr>
      <w:r>
        <w:rPr>
          <w:rtl w:val="0"/>
        </w:rPr>
        <w:t xml:space="preserve">BARBER, B.M. and ODEAN, T., Trading is hazardous to your wealth: the common stock investment performance of individual investors. J. Finan., 2000, 55, 773–806</w:t>
      </w:r>
      <w:r/>
    </w:p>
    <w:p>
      <w:pPr>
        <w:widowControl w:val="true"/>
        <w:pBdr/>
        <w:spacing w:after="160" w:line="324" w:lineRule="auto"/>
        <w:ind w:right="0" w:firstLine="0" w:left="0"/>
        <w:rPr/>
      </w:pPr>
      <w:r>
        <w:rPr>
          <w:rtl w:val="0"/>
        </w:rPr>
        <w:t xml:space="preserve">HOCHREITER, Sepp; SCHMIDHUBER, Jürgen. Long short-term memory. Neural  computation, v. 9, n. 8, p. 1735-1780, 1997.</w:t>
      </w:r>
      <w:r/>
    </w:p>
    <w:p>
      <w:pPr>
        <w:widowControl w:val="true"/>
        <w:pBdr/>
        <w:spacing w:after="160" w:line="324" w:lineRule="auto"/>
        <w:ind w:right="0" w:firstLine="0" w:left="0"/>
        <w:rPr/>
      </w:pPr>
      <w:r>
        <w:rPr>
          <w:rtl w:val="0"/>
        </w:rPr>
        <w:t xml:space="preserve">COVEL, Michael. Trend following (updated edition): Learn to make millions in up or  down markets. FT Press, 2009.</w:t>
      </w:r>
      <w:r/>
    </w:p>
    <w:p>
      <w:pPr>
        <w:widowControl w:val="true"/>
        <w:pBdr/>
        <w:spacing w:after="160" w:line="324" w:lineRule="auto"/>
        <w:ind w:right="0" w:firstLine="0" w:left="0"/>
        <w:rPr/>
      </w:pPr>
      <w:r>
        <w:rPr>
          <w:rtl w:val="0"/>
        </w:rPr>
        <w:t xml:space="preserve">DELONG, J.; SHLEIFER, A.; SUMMERS, L.; WALDMANN, R. Noise Trader Risk in  Financial Markets. Journal of Political Economy, [S. l.], n. 98(4), p. 703-738, 1990.</w:t>
      </w:r>
      <w:r/>
    </w:p>
    <w:p>
      <w:pPr>
        <w:widowControl w:val="true"/>
        <w:pBdr/>
        <w:spacing w:after="160" w:line="324" w:lineRule="auto"/>
        <w:ind w:right="0" w:firstLine="0" w:left="0"/>
        <w:rPr/>
      </w:pPr>
      <w:r>
        <w:rPr>
          <w:rtl w:val="0"/>
        </w:rPr>
        <w:t xml:space="preserve">FINKELSTEIN, Joseph; JEONG, In Cheol. Machine learning approaches to personalize early  prediction of asthma exacerbations. Annals of the New York Academy of Sciences, [s. l.], ed.  1387, 2016.</w:t>
      </w:r>
      <w:r/>
    </w:p>
    <w:p>
      <w:pPr>
        <w:widowControl w:val="true"/>
        <w:pBdr/>
        <w:spacing w:after="160" w:line="324" w:lineRule="auto"/>
        <w:ind w:right="0" w:firstLine="0" w:left="0"/>
        <w:rPr/>
      </w:pPr>
      <w:r>
        <w:rPr>
          <w:rtl w:val="0"/>
        </w:rPr>
        <w:t xml:space="preserve">CHENG, Haibin et al. Multistep-ahead time series prediction. In: Pacific-Asia Conference on  Knowledge Discovery and Data Mining. Springer, Berlin, Heidelberg, 2006. p. 765-774.</w:t>
      </w:r>
      <w:r/>
    </w:p>
    <w:p>
      <w:pPr>
        <w:widowControl w:val="true"/>
        <w:pBdr/>
        <w:spacing w:after="160" w:line="324" w:lineRule="auto"/>
        <w:ind w:right="0" w:firstLine="0" w:left="0"/>
        <w:rPr/>
      </w:pPr>
      <w:r>
        <w:rPr>
          <w:rtl w:val="0"/>
        </w:rPr>
        <w:t xml:space="preserve">DONG, Bing; LI, Zhaoxuan. Short term predictions of occupancy in commercial buildings:  Performance analysis for stochastic models and machine learning approaches. Energy and  Buildings, [s. l.], 2018</w:t>
      </w:r>
      <w:r/>
    </w:p>
    <w:p>
      <w:pPr>
        <w:pBdr/>
        <w:spacing w:before="72" w:line="324" w:lineRule="auto"/>
        <w:ind w:firstLine="0" w:left="102"/>
        <w:rPr/>
      </w:pPr>
      <w:r>
        <w:rPr>
          <w:rtl w:val="0"/>
        </w:rPr>
      </w:r>
      <w:r/>
    </w:p>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72" w:line="362" w:lineRule="auto"/>
        <w:ind w:right="0" w:firstLine="0" w:left="102"/>
        <w:jc w:val="left"/>
        <w:rPr>
          <w:sz w:val="24"/>
          <w:szCs w:val="24"/>
        </w:rPr>
      </w:pPr>
      <w:r>
        <w:rPr>
          <w:rtl w:val="0"/>
        </w:rPr>
      </w:r>
      <w:r>
        <w:rPr>
          <w:sz w:val="24"/>
          <w:szCs w:val="24"/>
        </w:rPr>
      </w:r>
    </w:p>
    <w:sectPr>
      <w:footnotePr/>
      <w:endnotePr/>
      <w:type w:val="nextPage"/>
      <w:pgSz w:h="16840" w:orient="portrait" w:w="11910"/>
      <w:pgMar w:top="1320" w:right="1580" w:bottom="280" w:left="1600" w:header="360" w:footer="36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udex">
    <w:panose1 w:val="05040102010807070707"/>
  </w:font>
  <w:font w:name="Cardo">
    <w:panose1 w:val="05040102010807070707"/>
  </w:font>
  <w:font w:name="Cambria Math">
    <w:panose1 w:val="02040503050406030204"/>
  </w:font>
  <w:font w:name="Times New Roman">
    <w:panose1 w:val="02020603050405020304"/>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b/>
        <w:bCs/>
        <w:sz w:val="24"/>
        <w:szCs w:val="24"/>
        <w:rtl w:val="0"/>
      </w:rPr>
      <w:t xml:space="preserve">8</w:t>
    </w:r>
    <w:r>
      <w:rPr>
        <w:rtl w:val="0"/>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tl w:val="0"/>
      </w:r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firstLine="0" w:left="8725"/>
      <w:rPr/>
    </w:pPr>
    <w:r>
      <w:fldChar w:fldCharType="begin"/>
      <w:instrText xml:space="preserve">PAGE</w:instrText>
      <w:fldChar w:fldCharType="separate"/>
      <w:fldChar w:fldCharType="end"/>
    </w: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
    <w:lvl w:ilvl="0">
      <w:isLgl w:val="false"/>
      <w:lvlJc w:val="left"/>
      <w:lvlText w:val="%1"/>
      <w:numFmt w:val="decimal"/>
      <w:pPr>
        <w:pBdr/>
        <w:spacing/>
        <w:ind w:hanging="284" w:left="385"/>
      </w:pPr>
      <w:rPr>
        <w:rFonts w:ascii="Times New Roman" w:hAnsi="Times New Roman" w:eastAsia="Times New Roman" w:cs="Times New Roman"/>
        <w:b/>
        <w:bCs/>
        <w:sz w:val="24"/>
        <w:szCs w:val="24"/>
      </w:rPr>
      <w:start w:val="1"/>
      <w:suff w:val="tab"/>
    </w:lvl>
    <w:lvl w:ilvl="1">
      <w:isLgl w:val="false"/>
      <w:lvlJc w:val="left"/>
      <w:lvlText w:val="%1.%2"/>
      <w:numFmt w:val="decimal"/>
      <w:pPr>
        <w:pBdr/>
        <w:spacing/>
        <w:ind w:hanging="360" w:left="1182"/>
      </w:pPr>
      <w:rPr>
        <w:rFonts w:ascii="Times New Roman" w:hAnsi="Times New Roman" w:eastAsia="Times New Roman" w:cs="Times New Roman"/>
        <w:b/>
        <w:bCs/>
        <w:sz w:val="24"/>
        <w:szCs w:val="24"/>
      </w:rPr>
      <w:start w:val="1"/>
      <w:suff w:val="tab"/>
    </w:lvl>
    <w:lvl w:ilvl="2">
      <w:isLgl w:val="false"/>
      <w:lvlJc w:val="left"/>
      <w:lvlText w:val="•"/>
      <w:numFmt w:val="bullet"/>
      <w:pPr>
        <w:pBdr/>
        <w:spacing/>
        <w:ind w:hanging="360" w:left="2018"/>
      </w:pPr>
      <w:rPr/>
      <w:start w:val="0"/>
      <w:suff w:val="tab"/>
    </w:lvl>
    <w:lvl w:ilvl="3">
      <w:isLgl w:val="false"/>
      <w:lvlJc w:val="left"/>
      <w:lvlText w:val="•"/>
      <w:numFmt w:val="bullet"/>
      <w:pPr>
        <w:pBdr/>
        <w:spacing/>
        <w:ind w:hanging="360" w:left="2856"/>
      </w:pPr>
      <w:rPr/>
      <w:start w:val="0"/>
      <w:suff w:val="tab"/>
    </w:lvl>
    <w:lvl w:ilvl="4">
      <w:isLgl w:val="false"/>
      <w:lvlJc w:val="left"/>
      <w:lvlText w:val="•"/>
      <w:numFmt w:val="bullet"/>
      <w:pPr>
        <w:pBdr/>
        <w:spacing/>
        <w:ind w:hanging="360" w:left="3695"/>
      </w:pPr>
      <w:rPr/>
      <w:start w:val="0"/>
      <w:suff w:val="tab"/>
    </w:lvl>
    <w:lvl w:ilvl="5">
      <w:isLgl w:val="false"/>
      <w:lvlJc w:val="left"/>
      <w:lvlText w:val="•"/>
      <w:numFmt w:val="bullet"/>
      <w:pPr>
        <w:pBdr/>
        <w:spacing/>
        <w:ind w:hanging="360" w:left="4533"/>
      </w:pPr>
      <w:rPr/>
      <w:start w:val="0"/>
      <w:suff w:val="tab"/>
    </w:lvl>
    <w:lvl w:ilvl="6">
      <w:isLgl w:val="false"/>
      <w:lvlJc w:val="left"/>
      <w:lvlText w:val="•"/>
      <w:numFmt w:val="bullet"/>
      <w:pPr>
        <w:pBdr/>
        <w:spacing/>
        <w:ind w:hanging="360" w:left="5372"/>
      </w:pPr>
      <w:rPr/>
      <w:start w:val="0"/>
      <w:suff w:val="tab"/>
    </w:lvl>
    <w:lvl w:ilvl="7">
      <w:isLgl w:val="false"/>
      <w:lvlJc w:val="left"/>
      <w:lvlText w:val="•"/>
      <w:numFmt w:val="bullet"/>
      <w:pPr>
        <w:pBdr/>
        <w:spacing/>
        <w:ind w:hanging="360" w:left="6210"/>
      </w:pPr>
      <w:rPr/>
      <w:start w:val="0"/>
      <w:suff w:val="tab"/>
    </w:lvl>
    <w:lvl w:ilvl="8">
      <w:isLgl w:val="false"/>
      <w:lvlJc w:val="left"/>
      <w:lvlText w:val="•"/>
      <w:numFmt w:val="bullet"/>
      <w:pPr>
        <w:pBdr/>
        <w:spacing/>
        <w:ind w:hanging="360" w:left="7049"/>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widowControl w:val="false"/>
        <w:pBdr/>
        <w:spacing w:after="0" w:afterAutospacing="0" w:before="0" w:beforeAutospacing="0" w:line="360" w:lineRule="auto"/>
        <w:ind w:right="121" w:firstLine="719" w:left="10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726"/>
    <w:next w:val="72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26"/>
    <w:next w:val="72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26"/>
    <w:next w:val="726"/>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13"/>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14"/>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15"/>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16"/>
    <w:uiPriority w:val="9"/>
    <w:pPr>
      <w:pBdr/>
      <w:spacing/>
      <w:ind/>
    </w:pPr>
    <w:rPr>
      <w:rFonts w:ascii="Arial" w:hAnsi="Arial" w:eastAsia="Arial" w:cs="Arial"/>
      <w:i/>
      <w:iCs/>
      <w:color w:val="0f4761" w:themeColor="accent1" w:themeShade="BF"/>
    </w:rPr>
  </w:style>
  <w:style w:type="character" w:styleId="153">
    <w:name w:val="Heading 5 Char"/>
    <w:basedOn w:val="147"/>
    <w:link w:val="717"/>
    <w:uiPriority w:val="9"/>
    <w:pPr>
      <w:pBdr/>
      <w:spacing/>
      <w:ind/>
    </w:pPr>
    <w:rPr>
      <w:rFonts w:ascii="Arial" w:hAnsi="Arial" w:eastAsia="Arial" w:cs="Arial"/>
      <w:color w:val="0f4761" w:themeColor="accent1" w:themeShade="BF"/>
    </w:rPr>
  </w:style>
  <w:style w:type="character" w:styleId="154">
    <w:name w:val="Heading 6 Char"/>
    <w:basedOn w:val="147"/>
    <w:link w:val="718"/>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719"/>
    <w:uiPriority w:val="10"/>
    <w:pPr>
      <w:pBdr/>
      <w:spacing/>
      <w:ind/>
    </w:pPr>
    <w:rPr>
      <w:rFonts w:ascii="Arial" w:hAnsi="Arial" w:eastAsia="Arial" w:cs="Arial"/>
      <w:spacing w:val="-10"/>
      <w:sz w:val="56"/>
      <w:szCs w:val="56"/>
    </w:rPr>
  </w:style>
  <w:style w:type="character" w:styleId="161">
    <w:name w:val="Subtitle Char"/>
    <w:basedOn w:val="147"/>
    <w:link w:val="728"/>
    <w:uiPriority w:val="11"/>
    <w:pPr>
      <w:pBdr/>
      <w:spacing/>
      <w:ind/>
    </w:pPr>
    <w:rPr>
      <w:color w:val="595959" w:themeColor="text1" w:themeTint="A6"/>
      <w:spacing w:val="15"/>
      <w:sz w:val="28"/>
      <w:szCs w:val="28"/>
    </w:rPr>
  </w:style>
  <w:style w:type="paragraph" w:styleId="162">
    <w:name w:val="Quote"/>
    <w:basedOn w:val="726"/>
    <w:next w:val="726"/>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paragraph" w:styleId="164">
    <w:name w:val="List Paragraph"/>
    <w:basedOn w:val="726"/>
    <w:uiPriority w:val="34"/>
    <w:qFormat/>
    <w:pPr>
      <w:pBdr/>
      <w:spacing/>
      <w:ind w:left="720"/>
      <w:contextualSpacing w:val="true"/>
    </w:p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726"/>
    <w:next w:val="72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726"/>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726"/>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726"/>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726"/>
    <w:next w:val="726"/>
    <w:uiPriority w:val="35"/>
    <w:unhideWhenUsed/>
    <w:qFormat/>
    <w:pPr>
      <w:pBdr/>
      <w:spacing w:after="200" w:line="240" w:lineRule="auto"/>
      <w:ind/>
    </w:pPr>
    <w:rPr>
      <w:i/>
      <w:iCs/>
      <w:color w:val="0e2841" w:themeColor="text2"/>
      <w:sz w:val="18"/>
      <w:szCs w:val="18"/>
    </w:rPr>
  </w:style>
  <w:style w:type="paragraph" w:styleId="180">
    <w:name w:val="footnote text"/>
    <w:basedOn w:val="726"/>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726"/>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726"/>
    <w:next w:val="726"/>
    <w:uiPriority w:val="39"/>
    <w:unhideWhenUsed/>
    <w:pPr>
      <w:pBdr/>
      <w:spacing w:after="100"/>
      <w:ind/>
    </w:pPr>
  </w:style>
  <w:style w:type="paragraph" w:styleId="189">
    <w:name w:val="toc 2"/>
    <w:basedOn w:val="726"/>
    <w:next w:val="726"/>
    <w:uiPriority w:val="39"/>
    <w:unhideWhenUsed/>
    <w:pPr>
      <w:pBdr/>
      <w:spacing w:after="100"/>
      <w:ind w:left="220"/>
    </w:pPr>
  </w:style>
  <w:style w:type="paragraph" w:styleId="190">
    <w:name w:val="toc 3"/>
    <w:basedOn w:val="726"/>
    <w:next w:val="726"/>
    <w:uiPriority w:val="39"/>
    <w:unhideWhenUsed/>
    <w:pPr>
      <w:pBdr/>
      <w:spacing w:after="100"/>
      <w:ind w:left="440"/>
    </w:pPr>
  </w:style>
  <w:style w:type="paragraph" w:styleId="191">
    <w:name w:val="toc 4"/>
    <w:basedOn w:val="726"/>
    <w:next w:val="726"/>
    <w:uiPriority w:val="39"/>
    <w:unhideWhenUsed/>
    <w:pPr>
      <w:pBdr/>
      <w:spacing w:after="100"/>
      <w:ind w:left="660"/>
    </w:pPr>
  </w:style>
  <w:style w:type="paragraph" w:styleId="192">
    <w:name w:val="toc 5"/>
    <w:basedOn w:val="726"/>
    <w:next w:val="726"/>
    <w:uiPriority w:val="39"/>
    <w:unhideWhenUsed/>
    <w:pPr>
      <w:pBdr/>
      <w:spacing w:after="100"/>
      <w:ind w:left="880"/>
    </w:pPr>
  </w:style>
  <w:style w:type="paragraph" w:styleId="193">
    <w:name w:val="toc 6"/>
    <w:basedOn w:val="726"/>
    <w:next w:val="726"/>
    <w:uiPriority w:val="39"/>
    <w:unhideWhenUsed/>
    <w:pPr>
      <w:pBdr/>
      <w:spacing w:after="100"/>
      <w:ind w:left="1100"/>
    </w:pPr>
  </w:style>
  <w:style w:type="paragraph" w:styleId="194">
    <w:name w:val="toc 7"/>
    <w:basedOn w:val="726"/>
    <w:next w:val="726"/>
    <w:uiPriority w:val="39"/>
    <w:unhideWhenUsed/>
    <w:pPr>
      <w:pBdr/>
      <w:spacing w:after="100"/>
      <w:ind w:left="1320"/>
    </w:pPr>
  </w:style>
  <w:style w:type="paragraph" w:styleId="195">
    <w:name w:val="toc 8"/>
    <w:basedOn w:val="726"/>
    <w:next w:val="726"/>
    <w:uiPriority w:val="39"/>
    <w:unhideWhenUsed/>
    <w:pPr>
      <w:pBdr/>
      <w:spacing w:after="100"/>
      <w:ind w:left="1540"/>
    </w:pPr>
  </w:style>
  <w:style w:type="paragraph" w:styleId="196">
    <w:name w:val="toc 9"/>
    <w:basedOn w:val="726"/>
    <w:next w:val="726"/>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26"/>
    <w:next w:val="726"/>
    <w:uiPriority w:val="99"/>
    <w:unhideWhenUsed/>
    <w:pPr>
      <w:pBdr/>
      <w:spacing w:after="0" w:afterAutospacing="0"/>
      <w:ind/>
    </w:pPr>
  </w:style>
  <w:style w:type="paragraph" w:styleId="713">
    <w:name w:val="Heading 1"/>
    <w:basedOn w:val="726"/>
    <w:next w:val="726"/>
    <w:pPr>
      <w:pBdr/>
      <w:tabs>
        <w:tab w:val="left" w:leader="none" w:pos="1182"/>
      </w:tabs>
      <w:spacing/>
      <w:ind w:hanging="361" w:left="1182"/>
    </w:pPr>
    <w:rPr>
      <w:b/>
      <w:bCs/>
      <w:sz w:val="24"/>
      <w:szCs w:val="24"/>
    </w:rPr>
  </w:style>
  <w:style w:type="paragraph" w:styleId="714">
    <w:name w:val="Heading 2"/>
    <w:basedOn w:val="726"/>
    <w:next w:val="726"/>
    <w:pPr>
      <w:keepNext w:val="true"/>
      <w:keepLines w:val="true"/>
      <w:pBdr/>
      <w:spacing w:after="80" w:before="360"/>
      <w:ind w:firstLine="102"/>
    </w:pPr>
    <w:rPr>
      <w:b/>
      <w:bCs/>
    </w:rPr>
  </w:style>
  <w:style w:type="paragraph" w:styleId="715">
    <w:name w:val="Heading 3"/>
    <w:basedOn w:val="726"/>
    <w:next w:val="726"/>
    <w:pPr>
      <w:keepNext w:val="true"/>
      <w:keepLines w:val="true"/>
      <w:pBdr/>
      <w:spacing w:after="80" w:before="280"/>
      <w:ind w:firstLine="102"/>
    </w:pPr>
    <w:rPr>
      <w:b/>
      <w:bCs/>
    </w:rPr>
  </w:style>
  <w:style w:type="paragraph" w:styleId="716">
    <w:name w:val="Heading 4"/>
    <w:basedOn w:val="726"/>
    <w:next w:val="726"/>
    <w:pPr>
      <w:keepNext w:val="true"/>
      <w:keepLines w:val="true"/>
      <w:pageBreakBefore w:val="false"/>
      <w:pBdr/>
      <w:spacing w:after="40" w:before="240"/>
      <w:ind/>
    </w:pPr>
    <w:rPr>
      <w:b/>
      <w:bCs/>
      <w:sz w:val="24"/>
      <w:szCs w:val="24"/>
    </w:rPr>
  </w:style>
  <w:style w:type="paragraph" w:styleId="717">
    <w:name w:val="Heading 5"/>
    <w:basedOn w:val="726"/>
    <w:next w:val="726"/>
    <w:pPr>
      <w:keepNext w:val="true"/>
      <w:keepLines w:val="true"/>
      <w:pageBreakBefore w:val="false"/>
      <w:pBdr/>
      <w:spacing w:after="40" w:before="220"/>
      <w:ind/>
    </w:pPr>
    <w:rPr>
      <w:b/>
      <w:bCs/>
      <w:sz w:val="22"/>
      <w:szCs w:val="22"/>
    </w:rPr>
  </w:style>
  <w:style w:type="paragraph" w:styleId="718">
    <w:name w:val="Heading 6"/>
    <w:basedOn w:val="726"/>
    <w:next w:val="726"/>
    <w:pPr>
      <w:keepNext w:val="true"/>
      <w:keepLines w:val="true"/>
      <w:pageBreakBefore w:val="false"/>
      <w:pBdr/>
      <w:spacing w:after="40" w:before="200"/>
      <w:ind/>
    </w:pPr>
    <w:rPr>
      <w:b/>
      <w:bCs/>
      <w:sz w:val="20"/>
      <w:szCs w:val="20"/>
    </w:rPr>
  </w:style>
  <w:style w:type="paragraph" w:styleId="719">
    <w:name w:val="Title"/>
    <w:basedOn w:val="726"/>
    <w:next w:val="726"/>
    <w:pPr>
      <w:keepNext w:val="true"/>
      <w:keepLines w:val="true"/>
      <w:pageBreakBefore w:val="false"/>
      <w:pBdr/>
      <w:spacing w:after="120" w:before="480"/>
      <w:ind/>
    </w:pPr>
    <w:rPr>
      <w:b/>
      <w:bCs/>
      <w:sz w:val="72"/>
      <w:szCs w:val="72"/>
    </w:rPr>
  </w:style>
  <w:style w:type="paragraph" w:styleId="726" w:default="1">
    <w:name w:val="Normal"/>
    <w:pPr>
      <w:pBdr/>
      <w:spacing/>
      <w:ind/>
    </w:pPr>
  </w:style>
  <w:style w:type="table" w:styleId="727">
    <w:name w:val="Table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8">
    <w:name w:val="Subtitle"/>
    <w:basedOn w:val="726"/>
    <w:next w:val="726"/>
    <w:pPr>
      <w:keepNext w:val="true"/>
      <w:keepLines w:val="true"/>
      <w:pageBreakBefore w:val="false"/>
      <w:pBdr/>
      <w:spacing w:after="80" w:before="360"/>
      <w:ind/>
    </w:pPr>
    <w:rPr>
      <w:rFonts w:ascii="Georgia" w:hAnsi="Georgia" w:eastAsia="Georgia" w:cs="Georgia"/>
      <w:i/>
      <w:iCs/>
      <w:color w:val="666666"/>
      <w:sz w:val="48"/>
      <w:szCs w:val="48"/>
    </w:rPr>
  </w:style>
  <w:style w:type="character" w:styleId="1_4" w:customStyle="1">
    <w:name w:val="Subtitulo_character"/>
    <w:link w:val="1_3"/>
    <w:pPr>
      <w:pBdr/>
      <w:spacing/>
      <w:ind/>
    </w:pPr>
    <w:rPr>
      <w:rtl w:val="0"/>
    </w:rPr>
  </w:style>
  <w:style w:type="paragraph" w:styleId="1_3" w:customStyle="1">
    <w:name w:val="Subtitulo"/>
    <w:basedOn w:val="714"/>
    <w:link w:val="1_4"/>
    <w:qFormat/>
    <w:pPr>
      <w:pBdr/>
      <w:spacing/>
      <w:ind/>
    </w:pPr>
    <w:rPr>
      <w:rtl w:val="0"/>
    </w:rPr>
  </w:style>
  <w:style w:type="character" w:styleId="1_66" w:customStyle="1">
    <w:name w:val="Texto_character"/>
    <w:link w:val="1_65"/>
    <w:pPr>
      <w:pBdr/>
      <w:spacing/>
      <w:ind/>
    </w:pPr>
    <w:rPr>
      <w:rtl w:val="0"/>
    </w:rPr>
  </w:style>
  <w:style w:type="paragraph" w:styleId="1_65" w:customStyle="1">
    <w:name w:val="Texto"/>
    <w:basedOn w:val="726"/>
    <w:link w:val="1_66"/>
    <w:qFormat/>
    <w:pPr>
      <w:pBdr/>
      <w:spacing/>
      <w:ind/>
    </w:pPr>
    <w:rPr>
      <w:rtl w:val="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EvHNo5g4coHZTlelijtXklygw==">CgMxLjAaEgoBMBINCgsIB0IHEgVDYXJkbxoSCgExEg0KCwgHQgcSBUNhcmRvGhMKATISDgoMCAdCCBIGQ2F1ZGV4Mg5oLmoxbGoyNGVhMXZkODIOaC42YmF3emtmaTI4ZHkyDmgudmpwa3lrd2R4aW8zMg5oLjRrdDE2OGdmMnZmZzIOaC43bmF2YjBvazN1bnQyDmguOXN0aDUwaTRpc2U1Mg5oLjY0cDZ4cnM1ZXlmazIOaC5nZ2xneHA2OXNnbjcyDmguN2tsZDN4OTNpaXFlMg5oLmR1bXgzdnducDlhNzIOaC50ZHB6Zmd6YnFxb2EyDmgua3pnZjV5ajRlYzA0Mg5oLmZvemRuOWRtYTk3ZTIOaC5mMzY5czZkcDQ2bXYyDmgucDliOTdlNnZjdWd6OAByITFmNlNiSnozTUFaaXRvSjVUYlB1amhfUVlHblE3WEZM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