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755B" w14:textId="77777777" w:rsidR="007E4E11" w:rsidRDefault="005A11C6">
      <w:pPr>
        <w:pStyle w:val="Corpodetexto"/>
        <w:spacing w:before="73"/>
        <w:ind w:left="109"/>
      </w:pPr>
      <w:r>
        <w:t>Glossário</w:t>
      </w:r>
    </w:p>
    <w:p w14:paraId="5C3BEF5C" w14:textId="77777777" w:rsidR="007E4E11" w:rsidRDefault="007E4E11">
      <w:pPr>
        <w:pStyle w:val="Corpodetexto"/>
        <w:rPr>
          <w:sz w:val="20"/>
        </w:rPr>
      </w:pPr>
    </w:p>
    <w:p w14:paraId="025A8B52" w14:textId="77777777" w:rsidR="007E4E11" w:rsidRDefault="007E4E11">
      <w:pPr>
        <w:pStyle w:val="Corpodetexto"/>
        <w:rPr>
          <w:sz w:val="20"/>
        </w:rPr>
      </w:pPr>
    </w:p>
    <w:p w14:paraId="669F75AB" w14:textId="77777777" w:rsidR="007E4E11" w:rsidRDefault="007E4E11">
      <w:pPr>
        <w:pStyle w:val="Corpodetexto"/>
        <w:spacing w:before="5" w:after="1"/>
        <w:rPr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1910"/>
        <w:gridCol w:w="6883"/>
      </w:tblGrid>
      <w:tr w:rsidR="007E4E11" w14:paraId="6DA2AF61" w14:textId="77777777" w:rsidTr="00DF2783">
        <w:trPr>
          <w:trHeight w:val="894"/>
        </w:trPr>
        <w:tc>
          <w:tcPr>
            <w:tcW w:w="1910" w:type="dxa"/>
            <w:shd w:val="clear" w:color="auto" w:fill="FBE4CD"/>
          </w:tcPr>
          <w:p w14:paraId="0E7219C3" w14:textId="77777777" w:rsidR="007E4E11" w:rsidRDefault="005A11C6">
            <w:pPr>
              <w:pStyle w:val="TableParagraph"/>
              <w:spacing w:line="276" w:lineRule="auto"/>
              <w:ind w:right="508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883" w:type="dxa"/>
            <w:shd w:val="clear" w:color="auto" w:fill="FBE4CD"/>
          </w:tcPr>
          <w:p w14:paraId="4A5302E4" w14:textId="77777777" w:rsidR="007E4E11" w:rsidRDefault="005A11C6">
            <w:pPr>
              <w:pStyle w:val="TableParagraph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7E4E11" w14:paraId="29776352" w14:textId="77777777" w:rsidTr="00DF2783">
        <w:trPr>
          <w:trHeight w:val="897"/>
        </w:trPr>
        <w:tc>
          <w:tcPr>
            <w:tcW w:w="1910" w:type="dxa"/>
          </w:tcPr>
          <w:p w14:paraId="152F122E" w14:textId="77777777" w:rsidR="007E4E11" w:rsidRDefault="005A11C6">
            <w:pPr>
              <w:pStyle w:val="TableParagraph"/>
            </w:pPr>
            <w:r>
              <w:t>CLT</w:t>
            </w:r>
          </w:p>
        </w:tc>
        <w:tc>
          <w:tcPr>
            <w:tcW w:w="6883" w:type="dxa"/>
          </w:tcPr>
          <w:p w14:paraId="49D91E97" w14:textId="2BD4BF14" w:rsidR="007E4E11" w:rsidRDefault="005A11C6">
            <w:pPr>
              <w:pStyle w:val="TableParagraph"/>
              <w:spacing w:line="276" w:lineRule="auto"/>
              <w:ind w:right="73"/>
              <w:jc w:val="both"/>
            </w:pPr>
            <w:r>
              <w:t xml:space="preserve">A sigla CLT significa Consolidação das Leis do </w:t>
            </w:r>
            <w:r w:rsidR="00DF2783">
              <w:t>Trabalho. E</w:t>
            </w:r>
            <w:r>
              <w:t>ste é o regime</w:t>
            </w:r>
            <w:r>
              <w:rPr>
                <w:spacing w:val="-9"/>
              </w:rPr>
              <w:t xml:space="preserve"> </w:t>
            </w:r>
            <w:r>
              <w:t>dominante</w:t>
            </w:r>
            <w:r>
              <w:rPr>
                <w:spacing w:val="-7"/>
              </w:rPr>
              <w:t xml:space="preserve"> </w:t>
            </w:r>
            <w:r>
              <w:t>no</w:t>
            </w:r>
            <w:r>
              <w:rPr>
                <w:spacing w:val="-8"/>
              </w:rPr>
              <w:t xml:space="preserve"> </w:t>
            </w:r>
            <w:r>
              <w:t>país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classe</w:t>
            </w:r>
            <w:r>
              <w:rPr>
                <w:spacing w:val="-9"/>
              </w:rPr>
              <w:t xml:space="preserve"> </w:t>
            </w:r>
            <w:r>
              <w:t>trabalhista,</w:t>
            </w:r>
            <w:r>
              <w:rPr>
                <w:spacing w:val="-4"/>
              </w:rPr>
              <w:t xml:space="preserve"> </w:t>
            </w:r>
            <w:r>
              <w:t>asseguradora</w:t>
            </w:r>
            <w:r>
              <w:rPr>
                <w:spacing w:val="-6"/>
              </w:rPr>
              <w:t xml:space="preserve"> </w:t>
            </w:r>
            <w:r>
              <w:t>de direitos aos trabalhadores contratados por carteira</w:t>
            </w:r>
            <w:r>
              <w:rPr>
                <w:spacing w:val="-5"/>
              </w:rPr>
              <w:t xml:space="preserve"> </w:t>
            </w:r>
            <w:r>
              <w:t>assinada.</w:t>
            </w:r>
          </w:p>
        </w:tc>
      </w:tr>
      <w:tr w:rsidR="007E4E11" w14:paraId="6732262C" w14:textId="77777777" w:rsidTr="00DF2783">
        <w:trPr>
          <w:trHeight w:val="1172"/>
        </w:trPr>
        <w:tc>
          <w:tcPr>
            <w:tcW w:w="1910" w:type="dxa"/>
          </w:tcPr>
          <w:p w14:paraId="6429F9CF" w14:textId="77777777" w:rsidR="007E4E11" w:rsidRDefault="005A11C6">
            <w:pPr>
              <w:pStyle w:val="TableParagraph"/>
              <w:spacing w:before="79"/>
            </w:pPr>
            <w:r>
              <w:t>Público Alvo</w:t>
            </w:r>
          </w:p>
        </w:tc>
        <w:tc>
          <w:tcPr>
            <w:tcW w:w="6883" w:type="dxa"/>
          </w:tcPr>
          <w:p w14:paraId="39615CCE" w14:textId="77777777" w:rsidR="007E4E11" w:rsidRDefault="005A11C6">
            <w:pPr>
              <w:pStyle w:val="TableParagraph"/>
              <w:spacing w:before="79" w:line="276" w:lineRule="auto"/>
              <w:ind w:right="76"/>
              <w:jc w:val="both"/>
            </w:pPr>
            <w:r>
              <w:t>O Público alvo é o grupo de pessoas, comunidade na qual é definido por uma instituição com a finalidade de lhes divulgar mensagens, oferecer serviços, produtos e propagar marcas com interesse em algum tipo de retorno a ser alcançado.</w:t>
            </w:r>
          </w:p>
        </w:tc>
      </w:tr>
      <w:tr w:rsidR="007E4E11" w14:paraId="1F5C5F09" w14:textId="77777777" w:rsidTr="00DF2783">
        <w:trPr>
          <w:trHeight w:val="1366"/>
        </w:trPr>
        <w:tc>
          <w:tcPr>
            <w:tcW w:w="1910" w:type="dxa"/>
          </w:tcPr>
          <w:p w14:paraId="09EF4FF0" w14:textId="77777777" w:rsidR="007E4E11" w:rsidRDefault="005A11C6">
            <w:pPr>
              <w:pStyle w:val="TableParagraph"/>
              <w:spacing w:before="81"/>
            </w:pPr>
            <w:r>
              <w:t>Agendamento</w:t>
            </w:r>
          </w:p>
        </w:tc>
        <w:tc>
          <w:tcPr>
            <w:tcW w:w="6883" w:type="dxa"/>
          </w:tcPr>
          <w:p w14:paraId="3CDA5785" w14:textId="72DA7379" w:rsidR="007E4E11" w:rsidRDefault="005A11C6" w:rsidP="00DF2783">
            <w:pPr>
              <w:pStyle w:val="TableParagraph"/>
              <w:spacing w:before="81" w:line="276" w:lineRule="auto"/>
              <w:ind w:right="77"/>
              <w:jc w:val="both"/>
            </w:pPr>
            <w:r>
              <w:t>O agendamento é a principal ferramenta a ser desenvolvida para o e</w:t>
            </w:r>
            <w:r w:rsidR="00DF2783">
              <w:t xml:space="preserve">stúdio. O </w:t>
            </w:r>
            <w:r>
              <w:t>agendamento só funciona a partir do momento que o cliente realiza o cadastro no estúdio, tendo assim a possibilidade de agendar dia, horário e quantidade de horas que passará dentro do estúdio.</w:t>
            </w:r>
          </w:p>
        </w:tc>
      </w:tr>
      <w:tr w:rsidR="007E4E11" w14:paraId="0505303C" w14:textId="77777777" w:rsidTr="00DF2783">
        <w:trPr>
          <w:trHeight w:val="1467"/>
        </w:trPr>
        <w:tc>
          <w:tcPr>
            <w:tcW w:w="1910" w:type="dxa"/>
          </w:tcPr>
          <w:p w14:paraId="35B6AE51" w14:textId="77777777" w:rsidR="007E4E11" w:rsidRDefault="005A11C6">
            <w:pPr>
              <w:pStyle w:val="TableParagraph"/>
            </w:pPr>
            <w:r>
              <w:t>Prestar serviços</w:t>
            </w:r>
          </w:p>
        </w:tc>
        <w:tc>
          <w:tcPr>
            <w:tcW w:w="6883" w:type="dxa"/>
          </w:tcPr>
          <w:p w14:paraId="3C4A2F4B" w14:textId="48FF21A2" w:rsidR="007E4E11" w:rsidRDefault="005A11C6" w:rsidP="00DF2783">
            <w:pPr>
              <w:pStyle w:val="TableParagraph"/>
              <w:spacing w:line="276" w:lineRule="auto"/>
              <w:ind w:right="75"/>
              <w:jc w:val="both"/>
            </w:pPr>
            <w:r>
              <w:t>O estúdio não possui vínculos CLT com os t</w:t>
            </w:r>
            <w:r w:rsidR="00DF2783">
              <w:t>atuadores. A</w:t>
            </w:r>
            <w:r>
              <w:t xml:space="preserve"> ideia do serviço é fornecer o espaço e equipamento para que os tatuadores possam prestar o serviço combinado com o cliente e ao término do serviço remunerar o tatuador em 60% do valor total fechado com o estúdio.</w:t>
            </w:r>
          </w:p>
        </w:tc>
      </w:tr>
      <w:tr w:rsidR="007E4E11" w14:paraId="3EBBEEA8" w14:textId="77777777" w:rsidTr="00DF2783">
        <w:trPr>
          <w:trHeight w:val="1851"/>
        </w:trPr>
        <w:tc>
          <w:tcPr>
            <w:tcW w:w="1910" w:type="dxa"/>
          </w:tcPr>
          <w:p w14:paraId="3318150F" w14:textId="77777777" w:rsidR="007E4E11" w:rsidRDefault="005A11C6">
            <w:pPr>
              <w:pStyle w:val="TableParagraph"/>
              <w:spacing w:before="79"/>
            </w:pPr>
            <w:r>
              <w:t>Procedimento</w:t>
            </w:r>
          </w:p>
        </w:tc>
        <w:tc>
          <w:tcPr>
            <w:tcW w:w="6883" w:type="dxa"/>
          </w:tcPr>
          <w:p w14:paraId="3DECC12F" w14:textId="77777777" w:rsidR="007E4E11" w:rsidRDefault="005A11C6">
            <w:pPr>
              <w:pStyle w:val="TableParagraph"/>
              <w:spacing w:before="79" w:line="276" w:lineRule="auto"/>
              <w:ind w:right="75"/>
              <w:jc w:val="both"/>
            </w:pPr>
            <w:r>
              <w:t>O</w:t>
            </w:r>
            <w:r>
              <w:rPr>
                <w:spacing w:val="-7"/>
              </w:rPr>
              <w:t xml:space="preserve"> </w:t>
            </w:r>
            <w:r>
              <w:t>procedimento</w:t>
            </w:r>
            <w:r>
              <w:rPr>
                <w:spacing w:val="-11"/>
              </w:rPr>
              <w:t xml:space="preserve"> </w:t>
            </w:r>
            <w:r>
              <w:t>trata-se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todo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9"/>
              </w:rPr>
              <w:t xml:space="preserve"> </w:t>
            </w:r>
            <w:r>
              <w:t>serviço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atendimento</w:t>
            </w:r>
            <w:r>
              <w:rPr>
                <w:spacing w:val="-8"/>
              </w:rPr>
              <w:t xml:space="preserve"> </w:t>
            </w:r>
            <w:r>
              <w:t>prestado</w:t>
            </w:r>
            <w:r>
              <w:rPr>
                <w:spacing w:val="-9"/>
              </w:rPr>
              <w:t xml:space="preserve"> </w:t>
            </w:r>
            <w:r>
              <w:t>ao cliente</w:t>
            </w:r>
            <w:r>
              <w:rPr>
                <w:spacing w:val="-9"/>
              </w:rPr>
              <w:t xml:space="preserve"> </w:t>
            </w:r>
            <w:r>
              <w:t>desde</w:t>
            </w:r>
            <w:r>
              <w:rPr>
                <w:spacing w:val="-11"/>
              </w:rPr>
              <w:t xml:space="preserve"> </w:t>
            </w:r>
            <w:r>
              <w:t>sua</w:t>
            </w:r>
            <w:r>
              <w:rPr>
                <w:spacing w:val="-11"/>
              </w:rPr>
              <w:t xml:space="preserve"> </w:t>
            </w:r>
            <w:r>
              <w:t>chegada</w:t>
            </w:r>
            <w:r>
              <w:rPr>
                <w:spacing w:val="-8"/>
              </w:rPr>
              <w:t xml:space="preserve"> </w:t>
            </w:r>
            <w:r>
              <w:t>ao</w:t>
            </w:r>
            <w:r>
              <w:rPr>
                <w:spacing w:val="-11"/>
              </w:rPr>
              <w:t xml:space="preserve"> </w:t>
            </w:r>
            <w:r>
              <w:t>estúdio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realizar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limpeza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-11"/>
              </w:rPr>
              <w:t xml:space="preserve"> </w:t>
            </w:r>
            <w:r>
              <w:t>local a</w:t>
            </w:r>
            <w:r>
              <w:rPr>
                <w:spacing w:val="-13"/>
              </w:rPr>
              <w:t xml:space="preserve"> </w:t>
            </w:r>
            <w:r>
              <w:t>ser</w:t>
            </w:r>
            <w:r>
              <w:rPr>
                <w:spacing w:val="-12"/>
              </w:rPr>
              <w:t xml:space="preserve"> </w:t>
            </w:r>
            <w:r>
              <w:t>tatuado</w:t>
            </w:r>
            <w:r>
              <w:rPr>
                <w:spacing w:val="-15"/>
              </w:rPr>
              <w:t xml:space="preserve"> </w:t>
            </w:r>
            <w:r>
              <w:t>(parte</w:t>
            </w:r>
            <w:r>
              <w:rPr>
                <w:spacing w:val="-12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corpo)</w:t>
            </w:r>
            <w:r>
              <w:rPr>
                <w:spacing w:val="-12"/>
              </w:rPr>
              <w:t xml:space="preserve"> </w:t>
            </w:r>
            <w:r>
              <w:t>como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utilização</w:t>
            </w:r>
            <w:r>
              <w:rPr>
                <w:spacing w:val="-12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papel</w:t>
            </w:r>
            <w:r>
              <w:rPr>
                <w:spacing w:val="-13"/>
              </w:rPr>
              <w:t xml:space="preserve"> </w:t>
            </w:r>
            <w:r>
              <w:t>hectográfico usado para contornar o desenho na pele do cliente, a pigmentação da tinta na pele, o feedback constante para avaliar as condições do cliente em continuar a tatuar até a utilização do filme plástico para cobrir a</w:t>
            </w:r>
            <w:r>
              <w:rPr>
                <w:spacing w:val="-2"/>
              </w:rPr>
              <w:t xml:space="preserve"> </w:t>
            </w:r>
            <w:r>
              <w:t>tatuagem.</w:t>
            </w:r>
          </w:p>
        </w:tc>
      </w:tr>
      <w:tr w:rsidR="00DF2783" w14:paraId="73A626A1" w14:textId="77777777" w:rsidTr="00DF2783">
        <w:trPr>
          <w:trHeight w:val="1851"/>
        </w:trPr>
        <w:tc>
          <w:tcPr>
            <w:tcW w:w="1910" w:type="dxa"/>
          </w:tcPr>
          <w:p w14:paraId="23CC21A4" w14:textId="62F41540" w:rsidR="00DF2783" w:rsidRDefault="00DF2783">
            <w:pPr>
              <w:pStyle w:val="TableParagraph"/>
              <w:spacing w:before="79"/>
            </w:pPr>
            <w:r>
              <w:t>Papel</w:t>
            </w:r>
            <w:r>
              <w:rPr>
                <w:spacing w:val="-13"/>
              </w:rPr>
              <w:t xml:space="preserve"> </w:t>
            </w:r>
            <w:r>
              <w:t xml:space="preserve">hectográfico </w:t>
            </w:r>
          </w:p>
        </w:tc>
        <w:tc>
          <w:tcPr>
            <w:tcW w:w="6883" w:type="dxa"/>
          </w:tcPr>
          <w:p w14:paraId="69336492" w14:textId="49525AEB" w:rsidR="00DF2783" w:rsidRPr="00DF2783" w:rsidRDefault="00DF2783">
            <w:pPr>
              <w:pStyle w:val="TableParagraph"/>
              <w:spacing w:before="79" w:line="276" w:lineRule="auto"/>
              <w:ind w:right="75"/>
              <w:jc w:val="both"/>
            </w:pPr>
            <w:r w:rsidRPr="00DF2783">
              <w:rPr>
                <w:shd w:val="clear" w:color="auto" w:fill="FFFFFF"/>
              </w:rPr>
              <w:t>Papel hectográfico para transferir desenhos para pele.</w:t>
            </w:r>
            <w:r w:rsidRPr="00DF2783">
              <w:br/>
            </w:r>
            <w:r w:rsidRPr="00DF2783">
              <w:rPr>
                <w:shd w:val="clear" w:color="auto" w:fill="FFFFFF"/>
              </w:rPr>
              <w:t>Para ter um resultado eficaz, é indispensável o uso de transfer loção, creme, bastão ou spray para fixar o desenho na pele.</w:t>
            </w:r>
          </w:p>
        </w:tc>
      </w:tr>
      <w:tr w:rsidR="00DF2783" w14:paraId="70679B6C" w14:textId="77777777" w:rsidTr="00DF2783">
        <w:trPr>
          <w:trHeight w:val="1851"/>
        </w:trPr>
        <w:tc>
          <w:tcPr>
            <w:tcW w:w="1910" w:type="dxa"/>
          </w:tcPr>
          <w:p w14:paraId="5C92892D" w14:textId="51C28388" w:rsidR="00DF2783" w:rsidRDefault="00DF2783">
            <w:pPr>
              <w:pStyle w:val="TableParagraph"/>
              <w:spacing w:before="79"/>
            </w:pPr>
            <w:r>
              <w:t>Batoques</w:t>
            </w:r>
          </w:p>
        </w:tc>
        <w:tc>
          <w:tcPr>
            <w:tcW w:w="6883" w:type="dxa"/>
          </w:tcPr>
          <w:p w14:paraId="7CA566D9" w14:textId="05FFCB6C" w:rsidR="00DF2783" w:rsidRPr="00DF2783" w:rsidRDefault="00DF2783">
            <w:pPr>
              <w:pStyle w:val="TableParagraph"/>
              <w:spacing w:before="79" w:line="276" w:lineRule="auto"/>
              <w:ind w:right="75"/>
              <w:jc w:val="both"/>
              <w:rPr>
                <w:shd w:val="clear" w:color="auto" w:fill="FFFFFF"/>
              </w:rPr>
            </w:pPr>
            <w:r>
              <w:rPr>
                <w:b/>
                <w:bCs/>
                <w:color w:val="222222"/>
              </w:rPr>
              <w:t>Batoque</w:t>
            </w:r>
            <w:r>
              <w:rPr>
                <w:color w:val="222222"/>
              </w:rPr>
              <w:t> </w:t>
            </w:r>
            <w:r w:rsidR="00FB23A6">
              <w:rPr>
                <w:color w:val="222222"/>
              </w:rPr>
              <w:t xml:space="preserve">é um pequeno recipiente utilizado para armazenar tinta durante as sessões de tatuagens. </w:t>
            </w:r>
          </w:p>
        </w:tc>
      </w:tr>
      <w:tr w:rsidR="00925BE4" w14:paraId="6495AD3B" w14:textId="77777777" w:rsidTr="00DF2783">
        <w:trPr>
          <w:trHeight w:val="1851"/>
        </w:trPr>
        <w:tc>
          <w:tcPr>
            <w:tcW w:w="1910" w:type="dxa"/>
          </w:tcPr>
          <w:p w14:paraId="24123243" w14:textId="2D589A9F" w:rsidR="00925BE4" w:rsidRDefault="00925BE4">
            <w:pPr>
              <w:pStyle w:val="TableParagraph"/>
              <w:spacing w:before="79"/>
            </w:pPr>
            <w:r>
              <w:t>Agulha</w:t>
            </w:r>
          </w:p>
        </w:tc>
        <w:tc>
          <w:tcPr>
            <w:tcW w:w="6883" w:type="dxa"/>
          </w:tcPr>
          <w:p w14:paraId="691EFB25" w14:textId="407F720F" w:rsidR="00925BE4" w:rsidRPr="00A15FE0" w:rsidRDefault="00925BE4">
            <w:pPr>
              <w:pStyle w:val="TableParagraph"/>
              <w:spacing w:before="79" w:line="276" w:lineRule="auto"/>
              <w:ind w:right="75"/>
              <w:jc w:val="both"/>
              <w:rPr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 xml:space="preserve"> </w:t>
            </w:r>
            <w:r w:rsidRPr="00A15FE0">
              <w:rPr>
                <w:bCs/>
                <w:color w:val="222222"/>
              </w:rPr>
              <w:t xml:space="preserve">Utilizada para perfurar a pele e injetar a tinta  </w:t>
            </w:r>
            <w:r w:rsidR="00A15FE0" w:rsidRPr="00A15FE0">
              <w:rPr>
                <w:bCs/>
                <w:color w:val="222222"/>
              </w:rPr>
              <w:t>no desenho traçado por cima da pele.</w:t>
            </w:r>
            <w:r w:rsidR="007B66BA">
              <w:rPr>
                <w:bCs/>
                <w:color w:val="222222"/>
              </w:rPr>
              <w:t xml:space="preserve"> Existem diversos tamanhos de agulhas, a utilização do tamanho de cada uma varia de acordo com a tatuagem a ser desenvolvida.</w:t>
            </w:r>
          </w:p>
        </w:tc>
      </w:tr>
      <w:tr w:rsidR="00C33783" w14:paraId="3981B3EC" w14:textId="77777777" w:rsidTr="00DF2783">
        <w:trPr>
          <w:trHeight w:val="1851"/>
        </w:trPr>
        <w:tc>
          <w:tcPr>
            <w:tcW w:w="1910" w:type="dxa"/>
          </w:tcPr>
          <w:p w14:paraId="0D1D212C" w14:textId="43A17C75" w:rsidR="00C33783" w:rsidRDefault="00C33783">
            <w:pPr>
              <w:pStyle w:val="TableParagraph"/>
              <w:spacing w:before="79"/>
            </w:pPr>
            <w:r>
              <w:lastRenderedPageBreak/>
              <w:t>Biqueira</w:t>
            </w:r>
          </w:p>
        </w:tc>
        <w:tc>
          <w:tcPr>
            <w:tcW w:w="6883" w:type="dxa"/>
          </w:tcPr>
          <w:p w14:paraId="318E41DE" w14:textId="4659430B" w:rsidR="00C33783" w:rsidRPr="00390973" w:rsidRDefault="00390973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 w:rsidRPr="00390973">
              <w:rPr>
                <w:bCs/>
                <w:color w:val="222222"/>
              </w:rPr>
              <w:t xml:space="preserve"> É um item importante utilizado para manter a agulha firme e alinhada para que o tatuador possadesenhar com o máximo de precisão.</w:t>
            </w:r>
            <w:r w:rsidR="007B66BA">
              <w:rPr>
                <w:bCs/>
                <w:color w:val="222222"/>
              </w:rPr>
              <w:t xml:space="preserve"> As biqueiras também possuí algumas variações quanto aos tipos, a biqueiras de aço tem maior durabilidade do que as descartáveis.</w:t>
            </w:r>
          </w:p>
        </w:tc>
      </w:tr>
      <w:tr w:rsidR="00390973" w14:paraId="7756601F" w14:textId="77777777" w:rsidTr="00DF2783">
        <w:trPr>
          <w:trHeight w:val="1851"/>
        </w:trPr>
        <w:tc>
          <w:tcPr>
            <w:tcW w:w="1910" w:type="dxa"/>
          </w:tcPr>
          <w:p w14:paraId="32E331C3" w14:textId="5749D22C" w:rsidR="00390973" w:rsidRDefault="00F73488">
            <w:pPr>
              <w:pStyle w:val="TableParagraph"/>
              <w:spacing w:before="79"/>
            </w:pPr>
            <w:r>
              <w:t>Clip Cord</w:t>
            </w:r>
          </w:p>
        </w:tc>
        <w:tc>
          <w:tcPr>
            <w:tcW w:w="6883" w:type="dxa"/>
          </w:tcPr>
          <w:p w14:paraId="50F8E42D" w14:textId="6A39E4E9" w:rsidR="00390973" w:rsidRPr="00390973" w:rsidRDefault="00F73488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É um cabo que conecta a máquina </w:t>
            </w:r>
            <w:r w:rsidR="003101A4">
              <w:rPr>
                <w:bCs/>
                <w:color w:val="222222"/>
              </w:rPr>
              <w:t>de bonina a fonte de energia.</w:t>
            </w:r>
          </w:p>
        </w:tc>
      </w:tr>
      <w:tr w:rsidR="007F53AF" w14:paraId="43AFD664" w14:textId="77777777" w:rsidTr="00DF2783">
        <w:trPr>
          <w:trHeight w:val="1851"/>
        </w:trPr>
        <w:tc>
          <w:tcPr>
            <w:tcW w:w="1910" w:type="dxa"/>
          </w:tcPr>
          <w:p w14:paraId="45F00425" w14:textId="75A669F2" w:rsidR="007F53AF" w:rsidRDefault="00375137">
            <w:pPr>
              <w:pStyle w:val="TableParagraph"/>
              <w:spacing w:before="79"/>
            </w:pPr>
            <w:r>
              <w:t>Máquina de bonina</w:t>
            </w:r>
          </w:p>
        </w:tc>
        <w:tc>
          <w:tcPr>
            <w:tcW w:w="6883" w:type="dxa"/>
          </w:tcPr>
          <w:p w14:paraId="23DBD610" w14:textId="47016F4E" w:rsidR="007F53AF" w:rsidRDefault="00375137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Á máquina de bobina é a peça que da funcionamento aos demais componentes, por ela é repassada toda energia liberada pelo pedal.</w:t>
            </w:r>
            <w:r w:rsidR="00214CA4">
              <w:rPr>
                <w:bCs/>
                <w:color w:val="222222"/>
              </w:rPr>
              <w:t xml:space="preserve"> </w:t>
            </w:r>
            <w:r w:rsidR="00841134">
              <w:rPr>
                <w:bCs/>
                <w:color w:val="222222"/>
              </w:rPr>
              <w:t>As máquinas de bobina possuem voltagens diferentes.</w:t>
            </w:r>
          </w:p>
        </w:tc>
      </w:tr>
      <w:tr w:rsidR="002E2EE4" w14:paraId="7A0BAB97" w14:textId="77777777" w:rsidTr="00DF2783">
        <w:trPr>
          <w:trHeight w:val="1851"/>
        </w:trPr>
        <w:tc>
          <w:tcPr>
            <w:tcW w:w="1910" w:type="dxa"/>
          </w:tcPr>
          <w:p w14:paraId="1A72F6DD" w14:textId="1E045187" w:rsidR="002E2EE4" w:rsidRDefault="009E25ED">
            <w:pPr>
              <w:pStyle w:val="TableParagraph"/>
              <w:spacing w:before="79"/>
            </w:pPr>
            <w:r>
              <w:t>Fonte de Tatuagem</w:t>
            </w:r>
          </w:p>
        </w:tc>
        <w:tc>
          <w:tcPr>
            <w:tcW w:w="6883" w:type="dxa"/>
          </w:tcPr>
          <w:p w14:paraId="47754CAF" w14:textId="16ABBAAC" w:rsidR="002E2EE4" w:rsidRDefault="009E25ED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É uma fonte de energia específica para tatuadores, a fonte controla a voltagem de energia para o pedal e a máquina de bobina.</w:t>
            </w:r>
            <w:r w:rsidR="009D7E3F">
              <w:rPr>
                <w:bCs/>
                <w:color w:val="222222"/>
              </w:rPr>
              <w:t xml:space="preserve"> Existem algumas varições nos modelos das fontes, as mais tadicionais são as fontes analógicas, existem modelos de fontes digitais.</w:t>
            </w:r>
          </w:p>
        </w:tc>
      </w:tr>
      <w:tr w:rsidR="009D2CA1" w14:paraId="4AD93739" w14:textId="77777777" w:rsidTr="00DF2783">
        <w:trPr>
          <w:trHeight w:val="1851"/>
        </w:trPr>
        <w:tc>
          <w:tcPr>
            <w:tcW w:w="1910" w:type="dxa"/>
          </w:tcPr>
          <w:p w14:paraId="158E695C" w14:textId="5B97E457" w:rsidR="009D2CA1" w:rsidRDefault="009D2CA1">
            <w:pPr>
              <w:pStyle w:val="TableParagraph"/>
              <w:spacing w:before="79"/>
            </w:pPr>
            <w:r>
              <w:t>Protetor de Máquina</w:t>
            </w:r>
          </w:p>
        </w:tc>
        <w:tc>
          <w:tcPr>
            <w:tcW w:w="6883" w:type="dxa"/>
          </w:tcPr>
          <w:p w14:paraId="136CAA98" w14:textId="72F22573" w:rsidR="009D2CA1" w:rsidRDefault="009D2CA1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É um plástico protetor utilizado para proteger a máquina e evitar o contato da pele do cliente com os resíduos da máquina</w:t>
            </w:r>
            <w:r w:rsidR="005C138A">
              <w:rPr>
                <w:bCs/>
                <w:color w:val="222222"/>
              </w:rPr>
              <w:t>. A falta deste material podem fazer com que resíduos de tinta e metais tenha contato com a pelé do cliente estragando o trabalho ou até mesmo prejudicando o cliente.</w:t>
            </w:r>
            <w:bookmarkStart w:id="0" w:name="_GoBack"/>
            <w:bookmarkEnd w:id="0"/>
          </w:p>
        </w:tc>
      </w:tr>
    </w:tbl>
    <w:p w14:paraId="4ABF80EB" w14:textId="77777777" w:rsidR="005A11C6" w:rsidRDefault="005A11C6"/>
    <w:sectPr w:rsidR="005A11C6">
      <w:type w:val="continuous"/>
      <w:pgSz w:w="11910" w:h="16840"/>
      <w:pgMar w:top="76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1"/>
    <w:rsid w:val="00214CA4"/>
    <w:rsid w:val="002E2EE4"/>
    <w:rsid w:val="003101A4"/>
    <w:rsid w:val="00375137"/>
    <w:rsid w:val="00390973"/>
    <w:rsid w:val="00402FC6"/>
    <w:rsid w:val="005A11C6"/>
    <w:rsid w:val="005C138A"/>
    <w:rsid w:val="007B66BA"/>
    <w:rsid w:val="007E4E11"/>
    <w:rsid w:val="007F53AF"/>
    <w:rsid w:val="00841134"/>
    <w:rsid w:val="00925BE4"/>
    <w:rsid w:val="009D2CA1"/>
    <w:rsid w:val="009D7E3F"/>
    <w:rsid w:val="009E25ED"/>
    <w:rsid w:val="00A15FE0"/>
    <w:rsid w:val="00BF61FE"/>
    <w:rsid w:val="00C33783"/>
    <w:rsid w:val="00DF2783"/>
    <w:rsid w:val="00EA43CC"/>
    <w:rsid w:val="00F73488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9110"/>
  <w15:docId w15:val="{9C2F4B54-0FBD-4346-BCDB-D9D8D61A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43C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3CC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EA43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43C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43C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43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43CC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Rodrigo Henrique</cp:lastModifiedBy>
  <cp:revision>10</cp:revision>
  <cp:lastPrinted>2019-09-30T16:13:00Z</cp:lastPrinted>
  <dcterms:created xsi:type="dcterms:W3CDTF">2020-02-13T14:15:00Z</dcterms:created>
  <dcterms:modified xsi:type="dcterms:W3CDTF">2020-02-13T16:08:00Z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