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879" w:type="dxa"/>
        <w:tblInd w:w="0" w:type="dxa"/>
        <w:tblLayout w:type="fixed"/>
        <w:tblCellMar>
          <w:top w:w="0" w:type="dxa"/>
          <w:left w:w="0" w:type="dxa"/>
          <w:bottom w:w="68" w:type="dxa"/>
          <w:right w:w="0" w:type="dxa"/>
        </w:tblCellMar>
      </w:tblPr>
      <w:tblGrid>
        <w:gridCol w:w="2041"/>
        <w:gridCol w:w="6797"/>
        <w:gridCol w:w="2041"/>
      </w:tblGrid>
      <w:tr w14:paraId="5AAC3A4B">
        <w:tblPrEx>
          <w:tblCellMar>
            <w:top w:w="0" w:type="dxa"/>
            <w:left w:w="0" w:type="dxa"/>
            <w:bottom w:w="68" w:type="dxa"/>
            <w:right w:w="0" w:type="dxa"/>
          </w:tblCellMar>
        </w:tblPrEx>
        <w:tc>
          <w:tcPr>
            <w:tcW w:w="2041" w:type="dxa"/>
            <w:vAlign w:val="bottom"/>
          </w:tcPr>
          <w:p w14:paraId="69BD7553">
            <w:pPr>
              <w:pStyle w:val="168"/>
            </w:pPr>
            <w:r>
              <w:t>0</w:t>
            </w:r>
            <w:r>
              <w:rPr>
                <w:color w:val="1F6FB2"/>
              </w:rPr>
              <w:t>1</w:t>
            </w:r>
          </w:p>
          <w:p w14:paraId="67A9906D">
            <w:pPr>
              <w:pStyle w:val="169"/>
            </w:pPr>
            <w:r>
              <w:t>Fundado en 2026</w:t>
            </w:r>
            <w:r>
              <w:br w:type="textWrapping"/>
            </w:r>
            <w:r>
              <w:t>Año I</w:t>
            </w:r>
            <w:r>
              <w:br w:type="textWrapping"/>
            </w:r>
            <w:r>
              <w:t>Número 1</w:t>
            </w:r>
          </w:p>
        </w:tc>
        <w:tc>
          <w:tcPr>
            <w:tcW w:w="6797" w:type="dxa"/>
            <w:vAlign w:val="center"/>
          </w:tcPr>
          <w:p w14:paraId="44A4BB8C">
            <w:pPr>
              <w:pStyle w:val="166"/>
            </w:pPr>
            <w:r>
              <w:rPr>
                <w:sz w:val="80"/>
                <w:szCs w:val="80"/>
              </w:rPr>
              <w:t>LA CUESTI</w:t>
            </w:r>
            <w:r>
              <w:rPr>
                <w:rFonts w:hint="default"/>
                <w:sz w:val="80"/>
                <w:szCs w:val="80"/>
                <w:lang w:val="es-ES"/>
              </w:rPr>
              <w:t>Ó</w:t>
            </w:r>
            <w:r>
              <w:rPr>
                <w:sz w:val="80"/>
                <w:szCs w:val="80"/>
              </w:rPr>
              <w:t>N</w:t>
            </w:r>
          </w:p>
          <w:p w14:paraId="716AC288">
            <w:pPr>
              <w:pStyle w:val="167"/>
            </w:pPr>
            <w:r>
              <w:t>EL PERIÓDICO DE ANÁLISIS SOCIAL</w:t>
            </w:r>
          </w:p>
        </w:tc>
        <w:tc>
          <w:tcPr>
            <w:tcW w:w="2041" w:type="dxa"/>
            <w:vAlign w:val="bottom"/>
          </w:tcPr>
          <w:p w14:paraId="0A303D13">
            <w:pPr>
              <w:pStyle w:val="169"/>
              <w:jc w:val="right"/>
            </w:pPr>
            <w:r>
              <w:t>Edición Colombia</w:t>
            </w:r>
            <w:r>
              <w:br w:type="textWrapping"/>
            </w:r>
            <w:r>
              <w:t>Ejemplar académico</w:t>
            </w:r>
          </w:p>
          <w:p w14:paraId="2F5594BA">
            <w:pPr>
              <w:pStyle w:val="169"/>
              <w:jc w:val="right"/>
            </w:pPr>
            <w:r>
              <w:rPr>
                <w:rFonts w:ascii="Oswald Bold" w:hAnsi="Oswald Bold" w:eastAsia="Oswald Bold" w:cs="Oswald Bold"/>
                <w:color w:val="1F6FB2"/>
              </w:rPr>
              <w:t>Martes</w:t>
            </w:r>
          </w:p>
          <w:p w14:paraId="304DF44A">
            <w:pPr>
              <w:pStyle w:val="169"/>
              <w:jc w:val="right"/>
            </w:pPr>
            <w:r>
              <w:rPr>
                <w:rFonts w:ascii="Oswald Bold" w:hAnsi="Oswald Bold" w:eastAsia="Oswald Bold" w:cs="Oswald Bold"/>
              </w:rPr>
              <w:t>8 de septiembre de 2026</w:t>
            </w:r>
          </w:p>
        </w:tc>
      </w:tr>
    </w:tbl>
    <w:p w14:paraId="4193ADF9">
      <w:pPr>
        <w:pStyle w:val="164"/>
      </w:pPr>
    </w:p>
    <w:tbl>
      <w:tblPr>
        <w:tblStyle w:val="12"/>
        <w:tblW w:w="10879" w:type="dxa"/>
        <w:tblInd w:w="0" w:type="dxa"/>
        <w:tblLayout w:type="fixed"/>
        <w:tblCellMar>
          <w:top w:w="45" w:type="dxa"/>
          <w:left w:w="0" w:type="dxa"/>
          <w:bottom w:w="45" w:type="dxa"/>
          <w:right w:w="0" w:type="dxa"/>
        </w:tblCellMar>
      </w:tblPr>
      <w:tblGrid>
        <w:gridCol w:w="1871"/>
        <w:gridCol w:w="1191"/>
        <w:gridCol w:w="7818"/>
      </w:tblGrid>
      <w:tr w14:paraId="426B8081">
        <w:tblPrEx>
          <w:tblCellMar>
            <w:top w:w="45" w:type="dxa"/>
            <w:left w:w="0" w:type="dxa"/>
            <w:bottom w:w="45" w:type="dxa"/>
            <w:right w:w="0" w:type="dxa"/>
          </w:tblCellMar>
        </w:tblPrEx>
        <w:tc>
          <w:tcPr>
            <w:tcW w:w="1871" w:type="dxa"/>
            <w:tcBorders>
              <w:top w:val="single" w:color="1E1C22" w:sz="6" w:space="0"/>
              <w:bottom w:val="single" w:color="1E1C22" w:sz="6" w:space="0"/>
            </w:tcBorders>
            <w:vAlign w:val="center"/>
          </w:tcPr>
          <w:p w14:paraId="0F4B8C93">
            <w:pPr>
              <w:pStyle w:val="175"/>
            </w:pPr>
            <w:r>
              <w:rPr>
                <w:sz w:val="28"/>
              </w:rPr>
              <w:t>Pasatiempos</w:t>
            </w:r>
          </w:p>
        </w:tc>
        <w:tc>
          <w:tcPr>
            <w:tcW w:w="1191" w:type="dxa"/>
            <w:tcBorders>
              <w:top w:val="single" w:color="1E1C22" w:sz="6" w:space="0"/>
              <w:bottom w:val="single" w:color="1E1C22" w:sz="6" w:space="0"/>
            </w:tcBorders>
            <w:vAlign w:val="center"/>
          </w:tcPr>
          <w:p w14:paraId="3BB3074E">
            <w:pPr>
              <w:pStyle w:val="165"/>
              <w:spacing w:before="0" w:after="0"/>
              <w:jc w:val="center"/>
            </w:pPr>
            <w:r>
              <w:drawing>
                <wp:inline distT="0" distB="0" distL="114300" distR="114300">
                  <wp:extent cx="683895" cy="427355"/>
                  <wp:effectExtent l="0" t="0" r="19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684000" cy="427500"/>
                          </a:xfrm>
                          <a:prstGeom prst="rect">
                            <a:avLst/>
                          </a:prstGeom>
                        </pic:spPr>
                      </pic:pic>
                    </a:graphicData>
                  </a:graphic>
                </wp:inline>
              </w:drawing>
            </w:r>
          </w:p>
        </w:tc>
        <w:tc>
          <w:tcPr>
            <w:tcW w:w="7818" w:type="dxa"/>
            <w:tcBorders>
              <w:top w:val="single" w:color="1E1C22" w:sz="6" w:space="0"/>
              <w:bottom w:val="single" w:color="1E1C22" w:sz="6" w:space="0"/>
            </w:tcBorders>
            <w:vAlign w:val="center"/>
          </w:tcPr>
          <w:p w14:paraId="19557FCC">
            <w:pPr>
              <w:pStyle w:val="170"/>
            </w:pPr>
            <w:r>
              <w:t>El crucigrama que pone a prueba tu lente sociológico</w:t>
            </w:r>
            <w:r>
              <w:rPr>
                <w:rFonts w:ascii="Oswald Bold" w:hAnsi="Oswald Bold" w:eastAsia="Oswald Bold" w:cs="Oswald Bold"/>
                <w:sz w:val="14"/>
              </w:rPr>
              <w:t xml:space="preserve"> —P4</w:t>
            </w:r>
          </w:p>
        </w:tc>
      </w:tr>
    </w:tbl>
    <w:p w14:paraId="178A6A20">
      <w:pPr>
        <w:pStyle w:val="164"/>
      </w:pPr>
    </w:p>
    <w:tbl>
      <w:tblPr>
        <w:tblStyle w:val="12"/>
        <w:tblW w:w="10879" w:type="dxa"/>
        <w:tblInd w:w="0" w:type="dxa"/>
        <w:tblLayout w:type="fixed"/>
        <w:tblCellMar>
          <w:top w:w="113" w:type="dxa"/>
          <w:left w:w="0" w:type="dxa"/>
          <w:bottom w:w="0" w:type="dxa"/>
          <w:right w:w="0" w:type="dxa"/>
        </w:tblCellMar>
      </w:tblPr>
      <w:tblGrid>
        <w:gridCol w:w="7682"/>
        <w:gridCol w:w="3197"/>
      </w:tblGrid>
      <w:tr w14:paraId="6CBA94E4">
        <w:tblPrEx>
          <w:tblCellMar>
            <w:top w:w="113" w:type="dxa"/>
            <w:left w:w="0" w:type="dxa"/>
            <w:bottom w:w="0" w:type="dxa"/>
            <w:right w:w="0" w:type="dxa"/>
          </w:tblCellMar>
        </w:tblPrEx>
        <w:tc>
          <w:tcPr>
            <w:tcW w:w="7682" w:type="dxa"/>
            <w:tcMar>
              <w:right w:w="170" w:type="dxa"/>
            </w:tcMar>
          </w:tcPr>
          <w:p w14:paraId="33E54F4A">
            <w:pPr>
              <w:pStyle w:val="165"/>
              <w:spacing w:before="0" w:after="0"/>
              <w:jc w:val="left"/>
            </w:pPr>
            <w:r>
              <w:drawing>
                <wp:inline distT="0" distB="0" distL="114300" distR="114300">
                  <wp:extent cx="4769485" cy="232537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4770000" cy="2325375"/>
                          </a:xfrm>
                          <a:prstGeom prst="rect">
                            <a:avLst/>
                          </a:prstGeom>
                        </pic:spPr>
                      </pic:pic>
                    </a:graphicData>
                  </a:graphic>
                </wp:inline>
              </w:drawing>
            </w:r>
          </w:p>
          <w:p w14:paraId="378056CE">
            <w:pPr>
              <w:pStyle w:val="171"/>
            </w:pPr>
            <w:r>
              <w:t xml:space="preserve">Anochecer en un corredor urbano del Valle de Aburrá: bajo el viaducto duerme un habitante de calle y en el semáforo un niño vende dulces. </w:t>
            </w:r>
            <w:r>
              <w:rPr>
                <w:rFonts w:ascii="Oswald" w:hAnsi="Oswald" w:eastAsia="Oswald" w:cs="Oswald"/>
                <w:color w:val="6E6A72"/>
                <w:sz w:val="12"/>
              </w:rPr>
              <w:t>ILUSTRACIÓN: LA CUESTIÓN</w:t>
            </w:r>
          </w:p>
          <w:p w14:paraId="471DDA40">
            <w:pPr>
              <w:pStyle w:val="179"/>
              <w:spacing w:before="120"/>
            </w:pPr>
            <w:r>
              <w:t>Problemas sociales y problemas de programas</w:t>
            </w:r>
          </w:p>
          <w:p w14:paraId="3C200CBA">
            <w:pPr>
              <w:pStyle w:val="173"/>
              <w:spacing w:line="616" w:lineRule="exact"/>
            </w:pPr>
            <w:r>
              <w:rPr>
                <w:sz w:val="56"/>
              </w:rPr>
              <w:t>La pobreza baja, pero los programas siguen sin llegar</w:t>
            </w:r>
          </w:p>
          <w:p w14:paraId="0872F91B">
            <w:pPr>
              <w:pStyle w:val="180"/>
            </w:pPr>
            <w:r>
              <w:t>• La pobreza monetaria cayó al 28,0 % en 2025, según el DANE • El paso del Sisbén al RUI pone en riesgo las transferencias de cerca del 49 % de los hogares de Renta Ciudadana</w:t>
            </w:r>
          </w:p>
          <w:tbl>
            <w:tblPr>
              <w:tblStyle w:val="12"/>
              <w:tblW w:w="7512" w:type="dxa"/>
              <w:tblInd w:w="0" w:type="dxa"/>
              <w:tblLayout w:type="fixed"/>
              <w:tblCellMar>
                <w:top w:w="0" w:type="dxa"/>
                <w:left w:w="0" w:type="dxa"/>
                <w:bottom w:w="0" w:type="dxa"/>
                <w:right w:w="0" w:type="dxa"/>
              </w:tblCellMar>
            </w:tblPr>
            <w:tblGrid>
              <w:gridCol w:w="2504"/>
              <w:gridCol w:w="2504"/>
              <w:gridCol w:w="2504"/>
            </w:tblGrid>
            <w:tr w14:paraId="42E1305E">
              <w:tblPrEx>
                <w:tblCellMar>
                  <w:top w:w="0" w:type="dxa"/>
                  <w:left w:w="0" w:type="dxa"/>
                  <w:bottom w:w="0" w:type="dxa"/>
                  <w:right w:w="0" w:type="dxa"/>
                </w:tblCellMar>
              </w:tblPrEx>
              <w:tc>
                <w:tcPr>
                  <w:tcW w:w="2504" w:type="dxa"/>
                  <w:vMerge w:val="restart"/>
                  <w:tcMar>
                    <w:left w:w="0" w:type="dxa"/>
                    <w:right w:w="99" w:type="dxa"/>
                  </w:tcMar>
                </w:tcPr>
                <w:p w14:paraId="31DDB52B">
                  <w:pPr>
                    <w:pStyle w:val="183"/>
                    <w:spacing w:before="60"/>
                  </w:pPr>
                  <w:r>
                    <w:t>Mesa de redacción</w:t>
                  </w:r>
                </w:p>
                <w:p w14:paraId="6EFFF4EE">
                  <w:pPr>
                    <w:pStyle w:val="184"/>
                  </w:pPr>
                  <w:r>
                    <w:t>Bogotá / Medellín</w:t>
                  </w:r>
                </w:p>
                <w:p w14:paraId="2B92415C">
                  <w:pPr>
                    <w:pStyle w:val="187"/>
                  </w:pPr>
                  <w:r>
                    <w:t>La pobreza monetaria bajó al 28,0 % en 2025, frente al 31,8 % de 2024, según el DANE. Pero en agosto los hogares de Renta Ciudadana supieron que su giro se aplazaba.</w:t>
                  </w:r>
                </w:p>
              </w:tc>
              <w:tc>
                <w:tcPr>
                  <w:tcW w:w="2504" w:type="dxa"/>
                  <w:tcMar>
                    <w:left w:w="99" w:type="dxa"/>
                    <w:right w:w="99" w:type="dxa"/>
                  </w:tcMar>
                </w:tcPr>
                <w:p w14:paraId="4C4C6E09">
                  <w:pPr>
                    <w:pStyle w:val="187"/>
                    <w:spacing w:before="60"/>
                  </w:pPr>
                  <w:r>
                    <w:t>La razón es el paso del Sisbén al Registro Universal de Ingresos (RUI), reglamentado por el Decreto 662 de 2026. Prosperidad Social advirtió que aplicarlo sin transición podría afectar a cerca del 49 % de los hogares.</w:t>
                  </w:r>
                </w:p>
              </w:tc>
              <w:tc>
                <w:tcPr>
                  <w:tcW w:w="2504" w:type="dxa"/>
                  <w:tcMar>
                    <w:left w:w="99" w:type="dxa"/>
                    <w:right w:w="0" w:type="dxa"/>
                  </w:tcMar>
                </w:tcPr>
                <w:p w14:paraId="6FB3C215">
                  <w:pPr>
                    <w:pStyle w:val="187"/>
                    <w:spacing w:before="60"/>
                  </w:pPr>
                  <w:r>
                    <w:t>No hay contradicción. Suárez (1989) lo explicó: una cosa es el problema social —la carencia— y otra el problema del programa que intenta resolverla.</w:t>
                  </w:r>
                  <w:r>
                    <w:rPr>
                      <w:rFonts w:ascii="Oswald Bold" w:hAnsi="Oswald Bold" w:eastAsia="Oswald Bold" w:cs="Oswald Bold"/>
                      <w:sz w:val="14"/>
                    </w:rPr>
                    <w:t xml:space="preserve"> —P3</w:t>
                  </w:r>
                </w:p>
              </w:tc>
            </w:tr>
            <w:tr w14:paraId="5F85F4FA">
              <w:tblPrEx>
                <w:tblCellMar>
                  <w:top w:w="0" w:type="dxa"/>
                  <w:left w:w="0" w:type="dxa"/>
                  <w:bottom w:w="0" w:type="dxa"/>
                  <w:right w:w="0" w:type="dxa"/>
                </w:tblCellMar>
              </w:tblPrEx>
              <w:tc>
                <w:tcPr>
                  <w:tcW w:w="2504" w:type="dxa"/>
                  <w:vMerge w:val="continue"/>
                  <w:tcMar>
                    <w:left w:w="0" w:type="dxa"/>
                    <w:right w:w="99" w:type="dxa"/>
                  </w:tcMar>
                </w:tcPr>
                <w:p w14:paraId="034558F9"/>
              </w:tc>
              <w:tc>
                <w:tcPr>
                  <w:tcW w:w="5008" w:type="dxa"/>
                  <w:gridSpan w:val="2"/>
                  <w:tcMar>
                    <w:left w:w="99" w:type="dxa"/>
                  </w:tcMar>
                </w:tcPr>
                <w:p w14:paraId="67F4F7FE">
                  <w:pPr>
                    <w:pStyle w:val="177"/>
                    <w:pBdr>
                      <w:top w:val="single" w:color="1E1C22" w:sz="4" w:space="4"/>
                    </w:pBdr>
                    <w:spacing w:before="40"/>
                  </w:pPr>
                  <w:r>
                    <w:t>«No todo problema social se convierte en una cuestión socialmente problematizada», advertía Suárez</w:t>
                  </w:r>
                </w:p>
              </w:tc>
            </w:tr>
          </w:tbl>
          <w:p w14:paraId="1E522913">
            <w:pPr>
              <w:pStyle w:val="164"/>
            </w:pPr>
          </w:p>
        </w:tc>
        <w:tc>
          <w:tcPr>
            <w:tcW w:w="3197" w:type="dxa"/>
            <w:tcBorders>
              <w:left w:val="single" w:color="A7A3AB" w:sz="4" w:space="0"/>
            </w:tcBorders>
            <w:tcMar>
              <w:left w:w="170" w:type="dxa"/>
            </w:tcMar>
          </w:tcPr>
          <w:p w14:paraId="6395875F">
            <w:pPr>
              <w:pStyle w:val="174"/>
            </w:pPr>
            <w:r>
              <w:t>Por qué hay que leer las crisis con teoría social</w:t>
            </w:r>
          </w:p>
          <w:p w14:paraId="12991D01">
            <w:pPr>
              <w:pStyle w:val="181"/>
            </w:pPr>
            <w:r>
              <w:t>Nuestro editorial: a quién le hablamos, cómo escribimos y para qué</w:t>
            </w:r>
          </w:p>
          <w:p w14:paraId="609ADA92">
            <w:pPr>
              <w:pStyle w:val="183"/>
            </w:pPr>
            <w:r>
              <w:t>Editorial</w:t>
            </w:r>
          </w:p>
          <w:p w14:paraId="5FA054EA">
            <w:pPr>
              <w:pStyle w:val="184"/>
            </w:pPr>
            <w:r>
              <w:t>Mesa de redacción</w:t>
            </w:r>
          </w:p>
          <w:p w14:paraId="5A21843D">
            <w:pPr>
              <w:pStyle w:val="187"/>
            </w:pPr>
            <w:r>
              <w:t>Las cifras dicen cuánto; la teoría explica por qué. Sin marco conceptual, la pobreza o la violencia se reducen a titulares que indignan un día y se olvidan al siguiente.</w:t>
            </w:r>
            <w:r>
              <w:rPr>
                <w:rFonts w:ascii="Oswald Bold" w:hAnsi="Oswald Bold" w:eastAsia="Oswald Bold" w:cs="Oswald Bold"/>
                <w:sz w:val="14"/>
              </w:rPr>
              <w:t xml:space="preserve"> —P2</w:t>
            </w:r>
          </w:p>
          <w:p w14:paraId="08E619C4">
            <w:pPr>
              <w:pStyle w:val="174"/>
              <w:pBdr>
                <w:top w:val="single" w:color="1E1C22" w:sz="4" w:space="7"/>
              </w:pBdr>
              <w:spacing w:before="140"/>
            </w:pPr>
            <w:r>
              <w:t>‘Calle Cero’: el programa que vino, tomó la foto y se fue</w:t>
            </w:r>
          </w:p>
          <w:p w14:paraId="1358FF63">
            <w:pPr>
              <w:pStyle w:val="181"/>
            </w:pPr>
            <w:r>
              <w:t>Nuestra tira cómica sigue a don Ramiro y a Lucía, trabajadora social, por la ruta de una cuestión socialmente problematizada</w:t>
            </w:r>
          </w:p>
          <w:p w14:paraId="45799C77">
            <w:pPr>
              <w:pStyle w:val="183"/>
            </w:pPr>
            <w:r>
              <w:t>Humor gráfico</w:t>
            </w:r>
          </w:p>
          <w:p w14:paraId="68019813">
            <w:pPr>
              <w:pStyle w:val="184"/>
            </w:pPr>
            <w:r>
              <w:t>Mesa de redacción</w:t>
            </w:r>
          </w:p>
          <w:p w14:paraId="5072163A">
            <w:pPr>
              <w:pStyle w:val="187"/>
            </w:pPr>
            <w:r>
              <w:t>Un hombre duerme bajo un puente durante años sin que nadie lo vea. Llega una cámara, luego un programa con una meta imposible y, tres meses después, un letrero de «cerrado».</w:t>
            </w:r>
            <w:r>
              <w:rPr>
                <w:rFonts w:ascii="Oswald Bold" w:hAnsi="Oswald Bold" w:eastAsia="Oswald Bold" w:cs="Oswald Bold"/>
                <w:sz w:val="14"/>
              </w:rPr>
              <w:t xml:space="preserve"> —P5</w:t>
            </w:r>
          </w:p>
        </w:tc>
      </w:tr>
    </w:tbl>
    <w:p w14:paraId="7A77FD91">
      <w:pPr>
        <w:pStyle w:val="164"/>
      </w:pPr>
    </w:p>
    <w:tbl>
      <w:tblPr>
        <w:tblStyle w:val="12"/>
        <w:tblW w:w="10879" w:type="dxa"/>
        <w:tblInd w:w="0" w:type="dxa"/>
        <w:tblLayout w:type="fixed"/>
        <w:tblCellMar>
          <w:top w:w="102" w:type="dxa"/>
          <w:left w:w="0" w:type="dxa"/>
          <w:bottom w:w="0" w:type="dxa"/>
          <w:right w:w="0" w:type="dxa"/>
        </w:tblCellMar>
      </w:tblPr>
      <w:tblGrid>
        <w:gridCol w:w="5102"/>
        <w:gridCol w:w="2324"/>
        <w:gridCol w:w="3453"/>
      </w:tblGrid>
      <w:tr w14:paraId="21E2E9F5">
        <w:tblPrEx>
          <w:tblCellMar>
            <w:top w:w="102" w:type="dxa"/>
            <w:left w:w="0" w:type="dxa"/>
            <w:bottom w:w="0" w:type="dxa"/>
            <w:right w:w="0" w:type="dxa"/>
          </w:tblCellMar>
        </w:tblPrEx>
        <w:tc>
          <w:tcPr>
            <w:tcW w:w="5102" w:type="dxa"/>
            <w:tcBorders>
              <w:top w:val="single" w:color="1E1C22" w:sz="8" w:space="0"/>
            </w:tcBorders>
            <w:tcMar>
              <w:right w:w="170" w:type="dxa"/>
            </w:tcMar>
          </w:tcPr>
          <w:p w14:paraId="21EE01CB">
            <w:pPr>
              <w:pStyle w:val="185"/>
            </w:pPr>
            <w:r>
              <w:t>Crónicas de ciudad</w:t>
            </w:r>
          </w:p>
          <w:tbl>
            <w:tblPr>
              <w:tblStyle w:val="12"/>
              <w:tblW w:w="4932" w:type="dxa"/>
              <w:tblInd w:w="0" w:type="dxa"/>
              <w:tblLayout w:type="fixed"/>
              <w:tblCellMar>
                <w:top w:w="0" w:type="dxa"/>
                <w:left w:w="0" w:type="dxa"/>
                <w:bottom w:w="0" w:type="dxa"/>
                <w:right w:w="0" w:type="dxa"/>
              </w:tblCellMar>
            </w:tblPr>
            <w:tblGrid>
              <w:gridCol w:w="2835"/>
              <w:gridCol w:w="2098"/>
            </w:tblGrid>
            <w:tr w14:paraId="00706DBE">
              <w:tblPrEx>
                <w:tblCellMar>
                  <w:top w:w="0" w:type="dxa"/>
                  <w:left w:w="0" w:type="dxa"/>
                  <w:bottom w:w="0" w:type="dxa"/>
                  <w:right w:w="0" w:type="dxa"/>
                </w:tblCellMar>
              </w:tblPrEx>
              <w:tc>
                <w:tcPr>
                  <w:tcW w:w="2835" w:type="dxa"/>
                  <w:tcMar>
                    <w:right w:w="142" w:type="dxa"/>
                  </w:tcMar>
                </w:tcPr>
                <w:p w14:paraId="27B86A52">
                  <w:pPr>
                    <w:pStyle w:val="176"/>
                    <w:spacing w:line="310" w:lineRule="exact"/>
                  </w:pPr>
                  <w:r>
                    <w:rPr>
                      <w:sz w:val="28"/>
                    </w:rPr>
                    <w:t>La niñez que trabaja en la plaza de mercado</w:t>
                  </w:r>
                </w:p>
              </w:tc>
              <w:tc>
                <w:tcPr>
                  <w:tcW w:w="2098" w:type="dxa"/>
                </w:tcPr>
                <w:p w14:paraId="37822199">
                  <w:pPr>
                    <w:pStyle w:val="165"/>
                    <w:spacing w:before="0" w:after="0"/>
                    <w:jc w:val="right"/>
                  </w:pPr>
                  <w:r>
                    <w:drawing>
                      <wp:inline distT="0" distB="0" distL="114300" distR="114300">
                        <wp:extent cx="1295400" cy="86360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1296000" cy="864000"/>
                                </a:xfrm>
                                <a:prstGeom prst="rect">
                                  <a:avLst/>
                                </a:prstGeom>
                              </pic:spPr>
                            </pic:pic>
                          </a:graphicData>
                        </a:graphic>
                      </wp:inline>
                    </w:drawing>
                  </w:r>
                </w:p>
              </w:tc>
            </w:tr>
          </w:tbl>
          <w:p w14:paraId="3EC26DDD">
            <w:pPr>
              <w:pStyle w:val="164"/>
            </w:pPr>
          </w:p>
          <w:p w14:paraId="66022396">
            <w:pPr>
              <w:pStyle w:val="187"/>
              <w:spacing w:before="40"/>
            </w:pPr>
            <w:r>
              <w:t>Bourdieu y Passeron y el trabajo infantil que se hereda como destino. Columna 5, 29 de septiembre</w:t>
            </w:r>
            <w:r>
              <w:rPr>
                <w:rFonts w:ascii="Oswald Bold" w:hAnsi="Oswald Bold" w:eastAsia="Oswald Bold" w:cs="Oswald Bold"/>
                <w:sz w:val="14"/>
              </w:rPr>
              <w:t xml:space="preserve"> —P6</w:t>
            </w:r>
          </w:p>
        </w:tc>
        <w:tc>
          <w:tcPr>
            <w:tcW w:w="2324" w:type="dxa"/>
            <w:tcBorders>
              <w:top w:val="single" w:color="1E1C22" w:sz="8" w:space="0"/>
              <w:left w:val="single" w:color="A7A3AB" w:sz="4" w:space="0"/>
            </w:tcBorders>
            <w:tcMar>
              <w:left w:w="170" w:type="dxa"/>
              <w:right w:w="170" w:type="dxa"/>
            </w:tcMar>
          </w:tcPr>
          <w:p w14:paraId="2CA6E794">
            <w:pPr>
              <w:pStyle w:val="176"/>
              <w:spacing w:line="310" w:lineRule="exact"/>
            </w:pPr>
            <w:r>
              <w:rPr>
                <w:sz w:val="28"/>
              </w:rPr>
              <w:t>Fronteras invisibles en los barrios</w:t>
            </w:r>
          </w:p>
          <w:p w14:paraId="2813FE4F">
            <w:pPr>
              <w:pStyle w:val="187"/>
            </w:pPr>
            <w:r>
              <w:t>Shaw y McKay ante el desplazamiento intraurbano por combos. Columna 4, 22 de septiembre</w:t>
            </w:r>
            <w:r>
              <w:rPr>
                <w:rFonts w:ascii="Oswald Bold" w:hAnsi="Oswald Bold" w:eastAsia="Oswald Bold" w:cs="Oswald Bold"/>
                <w:sz w:val="14"/>
              </w:rPr>
              <w:t xml:space="preserve"> —P6</w:t>
            </w:r>
          </w:p>
        </w:tc>
        <w:tc>
          <w:tcPr>
            <w:tcW w:w="3453" w:type="dxa"/>
            <w:tcBorders>
              <w:top w:val="single" w:color="1E1C22" w:sz="8" w:space="0"/>
              <w:left w:val="single" w:color="A7A3AB" w:sz="4" w:space="0"/>
            </w:tcBorders>
            <w:tcMar>
              <w:left w:w="170" w:type="dxa"/>
            </w:tcMar>
          </w:tcPr>
          <w:p w14:paraId="35BF2F85">
            <w:pPr>
              <w:pStyle w:val="186"/>
            </w:pPr>
            <w:r>
              <w:t>Próxima edición</w:t>
            </w:r>
          </w:p>
          <w:p w14:paraId="44AB8A57">
            <w:pPr>
              <w:pStyle w:val="176"/>
              <w:spacing w:line="310" w:lineRule="exact"/>
            </w:pPr>
            <w:r>
              <w:rPr>
                <w:sz w:val="28"/>
              </w:rPr>
              <w:t>Habitantes de calle y enfoque de capacidades</w:t>
            </w:r>
          </w:p>
          <w:p w14:paraId="29B7A82C">
            <w:pPr>
              <w:pStyle w:val="187"/>
            </w:pPr>
            <w:r>
              <w:t>Sen y Nussbaum en los corredores urbanos. Columna 3, 15 de septiembre</w:t>
            </w:r>
            <w:r>
              <w:rPr>
                <w:rFonts w:ascii="Oswald Bold" w:hAnsi="Oswald Bold" w:eastAsia="Oswald Bold" w:cs="Oswald Bold"/>
                <w:sz w:val="14"/>
              </w:rPr>
              <w:t xml:space="preserve"> —P6</w:t>
            </w:r>
          </w:p>
          <w:p w14:paraId="28894F1E">
            <w:pPr>
              <w:pStyle w:val="178"/>
              <w:pBdr>
                <w:top w:val="single" w:color="A7A3AB" w:sz="4" w:space="4"/>
              </w:pBdr>
              <w:spacing w:before="80"/>
            </w:pPr>
            <w:r>
              <w:t>Cronograma del curso y fuentes</w:t>
            </w:r>
            <w:r>
              <w:rPr>
                <w:rFonts w:ascii="Oswald Bold" w:hAnsi="Oswald Bold" w:eastAsia="Oswald Bold" w:cs="Oswald Bold"/>
                <w:sz w:val="14"/>
              </w:rPr>
              <w:t xml:space="preserve"> —P6</w:t>
            </w:r>
          </w:p>
        </w:tc>
      </w:tr>
    </w:tbl>
    <w:p w14:paraId="55C83C5C">
      <w:pPr>
        <w:pStyle w:val="164"/>
        <w:sectPr>
          <w:pgSz w:w="12240" w:h="15840"/>
          <w:pgMar w:top="510" w:right="680" w:bottom="454" w:left="680" w:header="397" w:footer="312" w:gutter="0"/>
          <w:cols w:space="720" w:num="1"/>
          <w:docGrid w:linePitch="360" w:charSpace="0"/>
        </w:sectPr>
      </w:pPr>
    </w:p>
    <w:tbl>
      <w:tblPr>
        <w:tblStyle w:val="12"/>
        <w:tblW w:w="10879" w:type="dxa"/>
        <w:tblInd w:w="0" w:type="dxa"/>
        <w:tblLayout w:type="fixed"/>
        <w:tblCellMar>
          <w:top w:w="0" w:type="dxa"/>
          <w:left w:w="0" w:type="dxa"/>
          <w:bottom w:w="34" w:type="dxa"/>
          <w:right w:w="0" w:type="dxa"/>
        </w:tblCellMar>
      </w:tblPr>
      <w:tblGrid>
        <w:gridCol w:w="6963"/>
        <w:gridCol w:w="3917"/>
      </w:tblGrid>
      <w:tr w14:paraId="455CE740">
        <w:tblPrEx>
          <w:tblCellMar>
            <w:top w:w="0" w:type="dxa"/>
            <w:left w:w="0" w:type="dxa"/>
            <w:bottom w:w="34" w:type="dxa"/>
            <w:right w:w="0" w:type="dxa"/>
          </w:tblCellMar>
        </w:tblPrEx>
        <w:tc>
          <w:tcPr>
            <w:tcW w:w="6963" w:type="dxa"/>
            <w:tcBorders>
              <w:bottom w:val="single" w:color="1E1C22" w:sz="18" w:space="0"/>
            </w:tcBorders>
            <w:vAlign w:val="bottom"/>
          </w:tcPr>
          <w:p w14:paraId="1E7A9F79">
            <w:pPr>
              <w:pStyle w:val="202"/>
            </w:pPr>
            <w:r>
              <w:t>Opinión</w:t>
            </w:r>
            <w:r>
              <w:rPr>
                <w:rFonts w:ascii="Newsreader Display Italic" w:hAnsi="Newsreader Display Italic" w:eastAsia="Newsreader Display Italic" w:cs="Newsreader Display Italic"/>
                <w:caps w:val="0"/>
                <w:color w:val="6E6A72"/>
                <w:sz w:val="28"/>
              </w:rPr>
              <w:t xml:space="preserve">   Editorial general</w:t>
            </w:r>
          </w:p>
        </w:tc>
        <w:tc>
          <w:tcPr>
            <w:tcW w:w="3917" w:type="dxa"/>
            <w:tcBorders>
              <w:bottom w:val="single" w:color="1E1C22" w:sz="18" w:space="0"/>
            </w:tcBorders>
            <w:vAlign w:val="bottom"/>
          </w:tcPr>
          <w:p w14:paraId="5D0D5950">
            <w:pPr>
              <w:pStyle w:val="169"/>
              <w:jc w:val="right"/>
            </w:pPr>
            <w:r>
              <w:rPr>
                <w:rFonts w:ascii="Oswald Bold" w:hAnsi="Oswald Bold" w:eastAsia="Oswald Bold" w:cs="Oswald Bold"/>
                <w:color w:val="1F6FB2"/>
              </w:rPr>
              <w:t>COLUMNA 1</w:t>
            </w:r>
          </w:p>
          <w:p w14:paraId="78C59A86">
            <w:pPr>
              <w:pStyle w:val="169"/>
              <w:jc w:val="right"/>
            </w:pPr>
            <w:r>
              <w:t>Sesión 1 · 8 de septiembre de 2026</w:t>
            </w:r>
          </w:p>
        </w:tc>
      </w:tr>
    </w:tbl>
    <w:p w14:paraId="2B7AD293">
      <w:pPr>
        <w:pStyle w:val="172"/>
        <w:spacing w:before="60" w:line="782" w:lineRule="exact"/>
      </w:pPr>
      <w:r>
        <w:rPr>
          <w:sz w:val="68"/>
        </w:rPr>
        <w:t>Sin teoría, la crisis es solo ruido</w:t>
      </w:r>
    </w:p>
    <w:p w14:paraId="174DD018">
      <w:pPr>
        <w:pStyle w:val="182"/>
      </w:pPr>
      <w:r>
        <w:t>Presentamos LA CUESTIÓN, un periódico que lee los problemas sociales de Colombia con las herramientas de la teoría sociológica y la mirada del Trabajo Social Crítico.</w:t>
      </w:r>
    </w:p>
    <w:p w14:paraId="59F8D227">
      <w:pPr>
        <w:pStyle w:val="183"/>
        <w:spacing w:after="100"/>
      </w:pPr>
      <w:r>
        <w:t>Editorial · Mesa de redacción</w:t>
      </w:r>
    </w:p>
    <w:tbl>
      <w:tblPr>
        <w:tblStyle w:val="12"/>
        <w:tblW w:w="10879" w:type="dxa"/>
        <w:tblInd w:w="0" w:type="dxa"/>
        <w:tblLayout w:type="fixed"/>
        <w:tblCellMar>
          <w:top w:w="0" w:type="dxa"/>
          <w:left w:w="0" w:type="dxa"/>
          <w:bottom w:w="0" w:type="dxa"/>
          <w:right w:w="0" w:type="dxa"/>
        </w:tblCellMar>
      </w:tblPr>
      <w:tblGrid>
        <w:gridCol w:w="6746"/>
        <w:gridCol w:w="4133"/>
      </w:tblGrid>
      <w:tr w14:paraId="5D96201A">
        <w:tblPrEx>
          <w:tblCellMar>
            <w:top w:w="0" w:type="dxa"/>
            <w:left w:w="0" w:type="dxa"/>
            <w:bottom w:w="0" w:type="dxa"/>
            <w:right w:w="0" w:type="dxa"/>
          </w:tblCellMar>
        </w:tblPrEx>
        <w:tc>
          <w:tcPr>
            <w:tcW w:w="6746" w:type="dxa"/>
            <w:tcMar>
              <w:right w:w="198" w:type="dxa"/>
            </w:tcMar>
          </w:tcPr>
          <w:p w14:paraId="00EA97CE">
            <w:pPr>
              <w:pStyle w:val="165"/>
              <w:spacing w:before="0" w:after="0"/>
              <w:jc w:val="left"/>
            </w:pPr>
            <w:r>
              <w:drawing>
                <wp:inline distT="0" distB="0" distL="114300" distR="114300">
                  <wp:extent cx="3923665" cy="1961515"/>
                  <wp:effectExtent l="0" t="0" r="825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3924000" cy="1962000"/>
                          </a:xfrm>
                          <a:prstGeom prst="rect">
                            <a:avLst/>
                          </a:prstGeom>
                        </pic:spPr>
                      </pic:pic>
                    </a:graphicData>
                  </a:graphic>
                </wp:inline>
              </w:drawing>
            </w:r>
          </w:p>
          <w:p w14:paraId="03C482FE">
            <w:pPr>
              <w:pStyle w:val="171"/>
            </w:pPr>
            <w:r>
              <w:t xml:space="preserve">El lente sociológico: lo que a simple vista es paisaje gris, bajo la teoría aparece como problema con causas, actores y responsables. </w:t>
            </w:r>
            <w:r>
              <w:rPr>
                <w:rFonts w:ascii="Oswald" w:hAnsi="Oswald" w:eastAsia="Oswald" w:cs="Oswald"/>
                <w:color w:val="6E6A72"/>
                <w:sz w:val="12"/>
              </w:rPr>
              <w:t>ILUSTRACIÓN: LA CUESTIÓN</w:t>
            </w:r>
          </w:p>
        </w:tc>
        <w:tc>
          <w:tcPr>
            <w:tcW w:w="4133" w:type="dxa"/>
            <w:tcBorders>
              <w:top w:val="single" w:color="1F6FB2" w:sz="24" w:space="0"/>
            </w:tcBorders>
            <w:shd w:val="clear" w:color="auto" w:fill="F4EFE4"/>
            <w:tcMar>
              <w:top w:w="113" w:type="dxa"/>
              <w:left w:w="170" w:type="dxa"/>
              <w:bottom w:w="85" w:type="dxa"/>
              <w:right w:w="170" w:type="dxa"/>
            </w:tcMar>
          </w:tcPr>
          <w:p w14:paraId="77809AD6">
            <w:pPr>
              <w:pStyle w:val="191"/>
            </w:pPr>
            <w:r>
              <w:t>Mesa de redacción</w:t>
            </w:r>
          </w:p>
          <w:p w14:paraId="026B993E">
            <w:pPr>
              <w:pStyle w:val="192"/>
            </w:pPr>
            <w:r>
              <w:rPr>
                <w:rFonts w:ascii="Newsreader Text Bold" w:hAnsi="Newsreader Text Bold" w:eastAsia="Newsreader Text Bold" w:cs="Newsreader Text Bold"/>
              </w:rPr>
              <w:t>Dirección editorial</w:t>
            </w:r>
            <w:r>
              <w:br w:type="textWrapping"/>
            </w:r>
            <w:r>
              <w:t>[Nombre y apellido del integrante]</w:t>
            </w:r>
          </w:p>
          <w:p w14:paraId="5605E6EB">
            <w:pPr>
              <w:pStyle w:val="192"/>
            </w:pPr>
            <w:r>
              <w:rPr>
                <w:rFonts w:ascii="Newsreader Text Bold" w:hAnsi="Newsreader Text Bold" w:eastAsia="Newsreader Text Bold" w:cs="Newsreader Text Bold"/>
              </w:rPr>
              <w:t>Edición y corrección de estilo</w:t>
            </w:r>
            <w:r>
              <w:br w:type="textWrapping"/>
            </w:r>
            <w:r>
              <w:t>[Nombre y apellido del integrante]</w:t>
            </w:r>
          </w:p>
          <w:p w14:paraId="4E384BC6">
            <w:pPr>
              <w:pStyle w:val="192"/>
            </w:pPr>
            <w:r>
              <w:rPr>
                <w:rFonts w:ascii="Newsreader Text Bold" w:hAnsi="Newsreader Text Bold" w:eastAsia="Newsreader Text Bold" w:cs="Newsreader Text Bold"/>
              </w:rPr>
              <w:t>Investigación y verificación de fuentes</w:t>
            </w:r>
            <w:r>
              <w:br w:type="textWrapping"/>
            </w:r>
            <w:r>
              <w:t>[Nombre y apellido del integrante]</w:t>
            </w:r>
          </w:p>
          <w:p w14:paraId="1C222E35">
            <w:pPr>
              <w:pStyle w:val="192"/>
            </w:pPr>
            <w:r>
              <w:rPr>
                <w:rFonts w:ascii="Newsreader Text Bold" w:hAnsi="Newsreader Text Bold" w:eastAsia="Newsreader Text Bold" w:cs="Newsreader Text Bold"/>
              </w:rPr>
              <w:t>Diseño, ilustración y tira cómica</w:t>
            </w:r>
            <w:r>
              <w:br w:type="textWrapping"/>
            </w:r>
            <w:r>
              <w:t>[Nombre y apellido del integrante]</w:t>
            </w:r>
          </w:p>
          <w:p w14:paraId="784B47A8">
            <w:pPr>
              <w:pStyle w:val="192"/>
              <w:pBdr>
                <w:top w:val="single" w:color="A7A3AB" w:sz="4" w:space="4"/>
              </w:pBdr>
              <w:spacing w:before="60"/>
            </w:pPr>
            <w:r>
              <w:rPr>
                <w:rFonts w:ascii="Newsreader Text Bold" w:hAnsi="Newsreader Text Bold" w:eastAsia="Newsreader Text Bold" w:cs="Newsreader Text Bold"/>
              </w:rPr>
              <w:t>Curso:</w:t>
            </w:r>
            <w:r>
              <w:t xml:space="preserve"> Problemas sociales contemporáneos</w:t>
            </w:r>
            <w:r>
              <w:br w:type="textWrapping"/>
            </w:r>
            <w:r>
              <w:rPr>
                <w:rFonts w:ascii="Newsreader Text Bold" w:hAnsi="Newsreader Text Bold" w:eastAsia="Newsreader Text Bold" w:cs="Newsreader Text Bold"/>
              </w:rPr>
              <w:t>Docente:</w:t>
            </w:r>
            <w:r>
              <w:t xml:space="preserve"> Allison Paola Escobar</w:t>
            </w:r>
            <w:r>
              <w:br w:type="textWrapping"/>
            </w:r>
            <w:r>
              <w:rPr>
                <w:rFonts w:ascii="Newsreader Text Bold" w:hAnsi="Newsreader Text Bold" w:eastAsia="Newsreader Text Bold" w:cs="Newsreader Text Bold"/>
              </w:rPr>
              <w:t>Modalidad:</w:t>
            </w:r>
            <w:r>
              <w:t xml:space="preserve"> trabajo grupal</w:t>
            </w:r>
          </w:p>
        </w:tc>
      </w:tr>
    </w:tbl>
    <w:p w14:paraId="168CB97E">
      <w:pPr>
        <w:pStyle w:val="164"/>
      </w:pPr>
    </w:p>
    <w:tbl>
      <w:tblPr>
        <w:tblStyle w:val="12"/>
        <w:tblW w:w="10879" w:type="dxa"/>
        <w:tblInd w:w="0" w:type="dxa"/>
        <w:tblLayout w:type="fixed"/>
        <w:tblCellMar>
          <w:top w:w="0" w:type="dxa"/>
          <w:left w:w="0" w:type="dxa"/>
          <w:bottom w:w="0" w:type="dxa"/>
          <w:right w:w="0" w:type="dxa"/>
        </w:tblCellMar>
      </w:tblPr>
      <w:tblGrid>
        <w:gridCol w:w="3626"/>
        <w:gridCol w:w="3626"/>
        <w:gridCol w:w="3626"/>
      </w:tblGrid>
      <w:tr w14:paraId="594252A3">
        <w:tblPrEx>
          <w:tblCellMar>
            <w:top w:w="0" w:type="dxa"/>
            <w:left w:w="0" w:type="dxa"/>
            <w:bottom w:w="0" w:type="dxa"/>
            <w:right w:w="0" w:type="dxa"/>
          </w:tblCellMar>
        </w:tblPrEx>
        <w:tc>
          <w:tcPr>
            <w:tcW w:w="3626" w:type="dxa"/>
            <w:tcMar>
              <w:left w:w="0" w:type="dxa"/>
              <w:right w:w="142" w:type="dxa"/>
            </w:tcMar>
          </w:tcPr>
          <w:p w14:paraId="1060DEB8">
            <w:pPr>
              <w:pStyle w:val="189"/>
              <w:spacing w:before="160"/>
            </w:pPr>
            <w:r>
              <w:t>Por qué este periódico</w:t>
            </w:r>
          </w:p>
          <w:p w14:paraId="3502C23A">
            <w:pPr>
              <w:pStyle w:val="188"/>
            </w:pPr>
            <w:r>
              <w:t>Colombia no carece de noticias sobre sus problemas sociales. Cada semana se informa sobre personas que viven en la calle, barrios donde un combo decide quién entra y quién sale, o niños que venden dulces en los semáforos. Lo que escasea es la explicación. La prensa sensacionalista narra el drama; la política pública tradicional lo convierte en metas y cifras. Ambas suelen quedarse en la superficie.</w:t>
            </w:r>
          </w:p>
          <w:p w14:paraId="52CD3C6B">
            <w:pPr>
              <w:pStyle w:val="188"/>
            </w:pPr>
            <w:r>
              <w:t xml:space="preserve">LA CUESTIÓN nace para ocupar ese espacio. Tomamos el nombre de una idea de Oszlak y O’Donnell que Francisco M. Suárez (1989) retoma: una </w:t>
            </w:r>
            <w:r>
              <w:rPr>
                <w:rFonts w:ascii="Newsreader Text Italic" w:hAnsi="Newsreader Text Italic" w:eastAsia="Newsreader Text Italic" w:cs="Newsreader Text Italic"/>
              </w:rPr>
              <w:t>cuestión socialmente problematizada</w:t>
            </w:r>
            <w:r>
              <w:t xml:space="preserve"> es un asunto que ciertos actores logran poner en la agenda porque creen que «puede y debe hacerse algo al respecto».</w:t>
            </w:r>
          </w:p>
        </w:tc>
        <w:tc>
          <w:tcPr>
            <w:tcW w:w="3626" w:type="dxa"/>
            <w:tcMar>
              <w:left w:w="142" w:type="dxa"/>
              <w:right w:w="142" w:type="dxa"/>
            </w:tcMar>
          </w:tcPr>
          <w:p w14:paraId="19D9F32B">
            <w:pPr>
              <w:pStyle w:val="189"/>
              <w:spacing w:before="160"/>
            </w:pPr>
            <w:r>
              <w:t>Por qué la teoría es indispensable</w:t>
            </w:r>
          </w:p>
          <w:p w14:paraId="03BA1876">
            <w:pPr>
              <w:pStyle w:val="188"/>
            </w:pPr>
            <w:r>
              <w:t>La teoría no es un adorno académico: es la herramienta que permite pasar del síntoma a la causa. Sin ella, la pobreza parece un asunto de individuos que no se esfuerzan, la violencia barrial un tema exclusivo de policía y el trabajo infantil una decisión de familias irresponsables.</w:t>
            </w:r>
          </w:p>
          <w:p w14:paraId="5009886F">
            <w:pPr>
              <w:pStyle w:val="188"/>
            </w:pPr>
            <w:r>
              <w:t>Las teorías del curso rompen ese sentido común. Las capacidades de Sen y Nussbaum preguntan qué libertades reales tiene una persona; la desorganización social de Shaw y McKay muestra cómo el debilitamiento de los lazos comunitarios facilita el control territorial, y la reproducción social de Bourdieu y Passeron revela cómo las instituciones convierten la desigualdad heredada en destino.</w:t>
            </w:r>
          </w:p>
        </w:tc>
        <w:tc>
          <w:tcPr>
            <w:tcW w:w="3626" w:type="dxa"/>
            <w:tcMar>
              <w:left w:w="142" w:type="dxa"/>
              <w:right w:w="0" w:type="dxa"/>
            </w:tcMar>
          </w:tcPr>
          <w:p w14:paraId="0471FA7E">
            <w:pPr>
              <w:pStyle w:val="189"/>
              <w:spacing w:before="160"/>
            </w:pPr>
            <w:r>
              <w:t>Cómo leer cada columna</w:t>
            </w:r>
          </w:p>
          <w:p w14:paraId="3F146AF1">
            <w:pPr>
              <w:pStyle w:val="188"/>
            </w:pPr>
            <w:r>
              <w:t>Cada columna sigue la misma ruta: un titular de impacto; un subtítulo que ubica el fenómeno y la teoría; una caja de glosario con tres conceptos clave; la crónica del problema en Colombia, con fuentes verificables; el lente sociológico, que explica sus causas profundas; el punto ciego de los análisis tradicionales, y una conclusión con una recomendación de intervención desde el Trabajo Social Crítico.</w:t>
            </w:r>
          </w:p>
          <w:p w14:paraId="38F0BF5E">
            <w:pPr>
              <w:pStyle w:val="190"/>
              <w:pBdr>
                <w:top w:val="single" w:color="1F6FB2" w:sz="12" w:space="5"/>
                <w:bottom w:val="single" w:color="1F6FB2" w:sz="12" w:space="5"/>
              </w:pBdr>
            </w:pPr>
            <w:r>
              <w:t>«Las cifras dicen cuánto. La teoría explica por qué. El Trabajo Social pregunta qué hacer y con quién.»</w:t>
            </w:r>
          </w:p>
        </w:tc>
      </w:tr>
    </w:tbl>
    <w:p w14:paraId="764E13C1">
      <w:pPr>
        <w:pStyle w:val="164"/>
        <w:spacing w:line="160" w:lineRule="exact"/>
      </w:pPr>
    </w:p>
    <w:tbl>
      <w:tblPr>
        <w:tblStyle w:val="12"/>
        <w:tblW w:w="10879" w:type="dxa"/>
        <w:tblInd w:w="0" w:type="dxa"/>
        <w:tblLayout w:type="fixed"/>
        <w:tblCellMar>
          <w:top w:w="91" w:type="dxa"/>
          <w:left w:w="142" w:type="dxa"/>
          <w:bottom w:w="79" w:type="dxa"/>
          <w:right w:w="142" w:type="dxa"/>
        </w:tblCellMar>
      </w:tblPr>
      <w:tblGrid>
        <w:gridCol w:w="3513"/>
        <w:gridCol w:w="170"/>
        <w:gridCol w:w="3513"/>
        <w:gridCol w:w="170"/>
        <w:gridCol w:w="3513"/>
      </w:tblGrid>
      <w:tr w14:paraId="1B9F4C5A">
        <w:tblPrEx>
          <w:tblCellMar>
            <w:top w:w="91" w:type="dxa"/>
            <w:left w:w="142" w:type="dxa"/>
            <w:bottom w:w="79" w:type="dxa"/>
            <w:right w:w="142" w:type="dxa"/>
          </w:tblCellMar>
        </w:tblPrEx>
        <w:tc>
          <w:tcPr>
            <w:tcW w:w="3513" w:type="dxa"/>
            <w:tcBorders>
              <w:top w:val="single" w:color="1F6FB2" w:sz="24" w:space="0"/>
            </w:tcBorders>
            <w:shd w:val="clear" w:color="auto" w:fill="F4EFE4"/>
          </w:tcPr>
          <w:p w14:paraId="4CAE3A85">
            <w:pPr>
              <w:pStyle w:val="191"/>
            </w:pPr>
            <w:r>
              <w:t>Público objetivo</w:t>
            </w:r>
          </w:p>
          <w:p w14:paraId="676EB67F">
            <w:pPr>
              <w:pStyle w:val="192"/>
              <w:spacing w:after="0"/>
            </w:pPr>
            <w:r>
              <w:t>Estudiantes y profesionales de Trabajo Social y ciencias sociales, servidores públicos que diseñan o ejecutan programas sociales, organizaciones comunitarias y lectores que quieren entender los problemas del país más allá del titular.</w:t>
            </w:r>
          </w:p>
        </w:tc>
        <w:tc>
          <w:tcPr>
            <w:tcW w:w="170" w:type="dxa"/>
          </w:tcPr>
          <w:p w14:paraId="09C28444"/>
        </w:tc>
        <w:tc>
          <w:tcPr>
            <w:tcW w:w="3513" w:type="dxa"/>
            <w:tcBorders>
              <w:top w:val="single" w:color="1F6FB2" w:sz="24" w:space="0"/>
            </w:tcBorders>
            <w:shd w:val="clear" w:color="auto" w:fill="F4EFE4"/>
          </w:tcPr>
          <w:p w14:paraId="6686D81A">
            <w:pPr>
              <w:pStyle w:val="191"/>
            </w:pPr>
            <w:r>
              <w:t>Estilo de redacción</w:t>
            </w:r>
          </w:p>
          <w:p w14:paraId="3B9845DE">
            <w:pPr>
              <w:pStyle w:val="192"/>
              <w:spacing w:after="0"/>
            </w:pPr>
            <w:r>
              <w:t>Periodístico-académico: titulares llamativos pero analíticos, lenguaje claro y sin sensacionalismo, datos de fuentes oficiales y académicas verificables, y citación en normas APA (7.ª edición). Opinamos con argumentos, no con adjetivos.</w:t>
            </w:r>
          </w:p>
        </w:tc>
        <w:tc>
          <w:tcPr>
            <w:tcW w:w="170" w:type="dxa"/>
          </w:tcPr>
          <w:p w14:paraId="45684285"/>
        </w:tc>
        <w:tc>
          <w:tcPr>
            <w:tcW w:w="3513" w:type="dxa"/>
            <w:tcBorders>
              <w:top w:val="single" w:color="1F6FB2" w:sz="24" w:space="0"/>
            </w:tcBorders>
            <w:shd w:val="clear" w:color="auto" w:fill="F4EFE4"/>
          </w:tcPr>
          <w:p w14:paraId="7E467733">
            <w:pPr>
              <w:pStyle w:val="191"/>
            </w:pPr>
            <w:r>
              <w:t>Objetivo del periódico</w:t>
            </w:r>
          </w:p>
          <w:p w14:paraId="4674DE61">
            <w:pPr>
              <w:pStyle w:val="192"/>
              <w:spacing w:after="0"/>
            </w:pPr>
            <w:r>
              <w:t>Analizar problemas sociales contemporáneos de Colombia desde matrices teóricas de la sociología, identificar lo que ignoran la prensa sensacionalista y la política pública tradicional, y proponer intervenciones críticas, éticas y viables desde el Trabajo Social.</w:t>
            </w:r>
          </w:p>
        </w:tc>
      </w:tr>
    </w:tbl>
    <w:p w14:paraId="3940141E">
      <w:pPr>
        <w:pStyle w:val="164"/>
        <w:sectPr>
          <w:headerReference r:id="rId5" w:type="default"/>
          <w:footerReference r:id="rId6" w:type="default"/>
          <w:pgSz w:w="12240" w:h="15840"/>
          <w:pgMar w:top="964" w:right="680" w:bottom="737" w:left="680" w:header="397" w:footer="312" w:gutter="0"/>
          <w:cols w:space="720" w:num="1"/>
          <w:docGrid w:linePitch="360" w:charSpace="0"/>
        </w:sectPr>
      </w:pPr>
    </w:p>
    <w:tbl>
      <w:tblPr>
        <w:tblStyle w:val="12"/>
        <w:tblW w:w="10879" w:type="dxa"/>
        <w:tblInd w:w="0" w:type="dxa"/>
        <w:tblLayout w:type="fixed"/>
        <w:tblCellMar>
          <w:top w:w="0" w:type="dxa"/>
          <w:left w:w="0" w:type="dxa"/>
          <w:bottom w:w="34" w:type="dxa"/>
          <w:right w:w="0" w:type="dxa"/>
        </w:tblCellMar>
      </w:tblPr>
      <w:tblGrid>
        <w:gridCol w:w="6963"/>
        <w:gridCol w:w="3917"/>
      </w:tblGrid>
      <w:tr w14:paraId="52E510C4">
        <w:tblPrEx>
          <w:tblCellMar>
            <w:top w:w="0" w:type="dxa"/>
            <w:left w:w="0" w:type="dxa"/>
            <w:bottom w:w="34" w:type="dxa"/>
            <w:right w:w="0" w:type="dxa"/>
          </w:tblCellMar>
        </w:tblPrEx>
        <w:tc>
          <w:tcPr>
            <w:tcW w:w="6963" w:type="dxa"/>
            <w:tcBorders>
              <w:bottom w:val="single" w:color="1E1C22" w:sz="18" w:space="0"/>
            </w:tcBorders>
            <w:vAlign w:val="bottom"/>
          </w:tcPr>
          <w:p w14:paraId="121B79CE">
            <w:pPr>
              <w:pStyle w:val="202"/>
            </w:pPr>
            <w:r>
              <w:t>Análisis</w:t>
            </w:r>
            <w:r>
              <w:rPr>
                <w:rFonts w:ascii="Newsreader Display Italic" w:hAnsi="Newsreader Display Italic" w:eastAsia="Newsreader Display Italic" w:cs="Newsreader Display Italic"/>
                <w:caps w:val="0"/>
                <w:color w:val="6E6A72"/>
                <w:sz w:val="28"/>
              </w:rPr>
              <w:t xml:space="preserve">   Columna 2 · Teórico-metodológica</w:t>
            </w:r>
          </w:p>
        </w:tc>
        <w:tc>
          <w:tcPr>
            <w:tcW w:w="3917" w:type="dxa"/>
            <w:tcBorders>
              <w:bottom w:val="single" w:color="1E1C22" w:sz="18" w:space="0"/>
            </w:tcBorders>
            <w:vAlign w:val="bottom"/>
          </w:tcPr>
          <w:p w14:paraId="33DF816E">
            <w:pPr>
              <w:pStyle w:val="169"/>
              <w:jc w:val="right"/>
            </w:pPr>
            <w:r>
              <w:rPr>
                <w:rFonts w:ascii="Oswald Bold" w:hAnsi="Oswald Bold" w:eastAsia="Oswald Bold" w:cs="Oswald Bold"/>
                <w:color w:val="1F6FB2"/>
              </w:rPr>
              <w:t>LECTURA BASE</w:t>
            </w:r>
          </w:p>
          <w:p w14:paraId="7F33DB6B">
            <w:pPr>
              <w:pStyle w:val="169"/>
              <w:jc w:val="right"/>
            </w:pPr>
            <w:r>
              <w:t>Francisco M. Suárez · CIDES, 1989</w:t>
            </w:r>
          </w:p>
        </w:tc>
      </w:tr>
    </w:tbl>
    <w:p w14:paraId="3671D51C">
      <w:pPr>
        <w:pStyle w:val="179"/>
        <w:spacing w:before="120"/>
      </w:pPr>
      <w:r>
        <w:t>Políticas públicas · Diagnóstico de coyuntura</w:t>
      </w:r>
    </w:p>
    <w:p w14:paraId="5F72C631">
      <w:pPr>
        <w:pStyle w:val="172"/>
        <w:spacing w:before="0" w:line="678" w:lineRule="exact"/>
      </w:pPr>
      <w:r>
        <w:rPr>
          <w:sz w:val="59"/>
        </w:rPr>
        <w:t>El programa también es el problema</w:t>
      </w:r>
    </w:p>
    <w:p w14:paraId="08682D41">
      <w:pPr>
        <w:pStyle w:val="182"/>
        <w:spacing w:line="284" w:lineRule="exact"/>
      </w:pPr>
      <w:r>
        <w:t>La pobreza monetaria cayó al 28,0 % en 2025, pero el paso del Sisbén al Registro Universal de Ingresos amenaza a casi la mitad de los hogares de Renta Ciudadana. Francisco M. Suárez permite separar el problema social del problema del programa que pretende resolverlo.</w:t>
      </w:r>
    </w:p>
    <w:p w14:paraId="5431C869">
      <w:pPr>
        <w:pStyle w:val="183"/>
        <w:spacing w:after="60"/>
      </w:pPr>
      <w:r>
        <w:t>Mesa de redacción · Bogotá</w:t>
      </w:r>
    </w:p>
    <w:tbl>
      <w:tblPr>
        <w:tblStyle w:val="12"/>
        <w:tblW w:w="10879" w:type="dxa"/>
        <w:tblInd w:w="0" w:type="dxa"/>
        <w:tblLayout w:type="fixed"/>
        <w:tblCellMar>
          <w:top w:w="0" w:type="dxa"/>
          <w:left w:w="0" w:type="dxa"/>
          <w:bottom w:w="0" w:type="dxa"/>
          <w:right w:w="0" w:type="dxa"/>
        </w:tblCellMar>
      </w:tblPr>
      <w:tblGrid>
        <w:gridCol w:w="7200"/>
        <w:gridCol w:w="3679"/>
      </w:tblGrid>
      <w:tr w14:paraId="5BA86B6E">
        <w:tblPrEx>
          <w:tblCellMar>
            <w:top w:w="0" w:type="dxa"/>
            <w:left w:w="0" w:type="dxa"/>
            <w:bottom w:w="0" w:type="dxa"/>
            <w:right w:w="0" w:type="dxa"/>
          </w:tblCellMar>
        </w:tblPrEx>
        <w:tc>
          <w:tcPr>
            <w:tcW w:w="7200" w:type="dxa"/>
            <w:tcMar>
              <w:right w:w="198" w:type="dxa"/>
            </w:tcMar>
          </w:tcPr>
          <w:tbl>
            <w:tblPr>
              <w:tblStyle w:val="12"/>
              <w:tblW w:w="7002" w:type="dxa"/>
              <w:tblInd w:w="0" w:type="dxa"/>
              <w:tblLayout w:type="fixed"/>
              <w:tblCellMar>
                <w:top w:w="0" w:type="dxa"/>
                <w:left w:w="0" w:type="dxa"/>
                <w:bottom w:w="0" w:type="dxa"/>
                <w:right w:w="0" w:type="dxa"/>
              </w:tblCellMar>
            </w:tblPr>
            <w:tblGrid>
              <w:gridCol w:w="3501"/>
              <w:gridCol w:w="3501"/>
            </w:tblGrid>
            <w:tr w14:paraId="6E71BA0F">
              <w:tblPrEx>
                <w:tblCellMar>
                  <w:top w:w="0" w:type="dxa"/>
                  <w:left w:w="0" w:type="dxa"/>
                  <w:bottom w:w="0" w:type="dxa"/>
                  <w:right w:w="0" w:type="dxa"/>
                </w:tblCellMar>
              </w:tblPrEx>
              <w:tc>
                <w:tcPr>
                  <w:tcW w:w="3501" w:type="dxa"/>
                  <w:tcMar>
                    <w:left w:w="0" w:type="dxa"/>
                    <w:right w:w="128" w:type="dxa"/>
                  </w:tcMar>
                </w:tcPr>
                <w:p w14:paraId="239175E2">
                  <w:pPr>
                    <w:pStyle w:val="189"/>
                    <w:spacing w:before="0"/>
                  </w:pPr>
                  <w:r>
                    <w:t>La crónica del problema</w:t>
                  </w:r>
                </w:p>
                <w:p w14:paraId="350DF7EE">
                  <w:pPr>
                    <w:pStyle w:val="187"/>
                  </w:pPr>
                  <w:r>
                    <w:t>En junio de 2026 el DANE publicó una buena noticia: la pobreza monetaria pasó de 31,8 % en 2024 a 28,0 % en 2025 (DANE, 2026). Según esa medición, cerca de 1,8 millones de personas dejaron de ser pobres por ingresos en un solo año.</w:t>
                  </w:r>
                </w:p>
                <w:p w14:paraId="129A52CE">
                  <w:pPr>
                    <w:pStyle w:val="187"/>
                  </w:pPr>
                  <w:r>
                    <w:t>Dos meses después, la noticia fue otra. Prosperidad Social aplazó para septiembre el cuarto ciclo de pagos de Renta Ciudadana y Devolución del IVA, previsto para el 21 de agosto, mientras revisaba el paso del Sisbén al RUI, reglamentado por el Decreto 662 de 2026. La entidad advirtió que aplicar las nuevas reglas sin transición podría afectar a cerca del 49 % de los hogares de un programa que llega a unos 700.000 hogares (El Tiempo, 2026).</w:t>
                  </w:r>
                </w:p>
                <w:p w14:paraId="65E142D5">
                  <w:pPr>
                    <w:pStyle w:val="187"/>
                  </w:pPr>
                  <w:r>
                    <w:t>El problema no es nuevo. El CONPES 3877 reconoció que los errores de inclusión del Sisbén III pasaron de 46,8 % en 2010 a 49,9 % en 2015 frente a la pobreza monetaria (DNP, 2016): el instrumento que debía identificar a los pobres había perdido capacidad para hacerlo.</w:t>
                  </w:r>
                </w:p>
                <w:p w14:paraId="2A1BCE7A">
                  <w:pPr>
                    <w:pStyle w:val="189"/>
                  </w:pPr>
                  <w:r>
                    <w:t>El lente sociológico</w:t>
                  </w:r>
                </w:p>
                <w:p w14:paraId="1231F7F7">
                  <w:pPr>
                    <w:pStyle w:val="187"/>
                  </w:pPr>
                  <w:r>
                    <w:t xml:space="preserve">Suárez (1989) define el problema social como una condición que afecta a un número significativo de personas, que se considera indeseable y que se cree corregible mediante la acción colectiva: una discrepancia entre un </w:t>
                  </w:r>
                  <w:r>
                    <w:rPr>
                      <w:rFonts w:ascii="Newsreader Text Italic" w:hAnsi="Newsreader Text Italic" w:eastAsia="Newsreader Text Italic" w:cs="Newsreader Text Italic"/>
                    </w:rPr>
                    <w:t>estándar de deseabilidad</w:t>
                  </w:r>
                  <w:r>
                    <w:t xml:space="preserve"> y una realidad observada.</w:t>
                  </w:r>
                </w:p>
              </w:tc>
              <w:tc>
                <w:tcPr>
                  <w:tcW w:w="3501" w:type="dxa"/>
                  <w:tcMar>
                    <w:left w:w="128" w:type="dxa"/>
                    <w:right w:w="0" w:type="dxa"/>
                  </w:tcMar>
                </w:tcPr>
                <w:p w14:paraId="7632EE97">
                  <w:pPr>
                    <w:pStyle w:val="187"/>
                  </w:pPr>
                  <w:r>
                    <w:t>Su aporte decisivo es aplicar la misma lógica a los programas, cuyo funcionamiento real también puede alejarse de lo que deberían lograr. Esa distinción ordena el caso colombiano. La pobreza es el problema social; la focalización que excluye o incluye mal, la rigidez para adaptarse a un nuevo registro y la discontinuidad de los giros son problemas del programa. Suárez los nombra: cobertura insuficiente en extensión y en profundidad, rigidez ante los cambios del contexto, superposición de programas y vulnerabilidad institucional. Por eso la pobreza puede bajar en la encuesta mientras la protección de los hogares más frágiles se debilita.</w:t>
                  </w:r>
                </w:p>
                <w:p w14:paraId="0FB83D03">
                  <w:pPr>
                    <w:pStyle w:val="190"/>
                    <w:pBdr>
                      <w:top w:val="single" w:color="1F6FB2" w:sz="12" w:space="4"/>
                      <w:bottom w:val="single" w:color="1F6FB2" w:sz="12" w:space="4"/>
                    </w:pBdr>
                    <w:spacing w:before="80" w:after="80" w:line="300" w:lineRule="exact"/>
                  </w:pPr>
                  <w:r>
                    <w:rPr>
                      <w:sz w:val="25"/>
                    </w:rPr>
                    <w:t>«No todo problema social se convierte en una cuestión socialmente problematizada»</w:t>
                  </w:r>
                </w:p>
                <w:p w14:paraId="2AB834A0">
                  <w:pPr>
                    <w:pStyle w:val="189"/>
                  </w:pPr>
                  <w:r>
                    <w:t>El punto ciego</w:t>
                  </w:r>
                </w:p>
                <w:p w14:paraId="6AC4C848">
                  <w:pPr>
                    <w:pStyle w:val="187"/>
                  </w:pPr>
                  <w:r>
                    <w:t xml:space="preserve">La prensa sensacionalista cuenta el aplazamiento como un escándalo de «colados» o de pagos perdidos; la política pública tradicional lo trata como un ajuste técnico de bases de datos. Ambas miradas ignoran lo que Suárez advierte: un problema solo se vuelve </w:t>
                  </w:r>
                  <w:r>
                    <w:rPr>
                      <w:rFonts w:ascii="Newsreader Text Italic" w:hAnsi="Newsreader Text Italic" w:eastAsia="Newsreader Text Italic" w:cs="Newsreader Text Italic"/>
                    </w:rPr>
                    <w:t>cuestión</w:t>
                  </w:r>
                  <w:r>
                    <w:t xml:space="preserve"> cuando alguien logra ponerlo en la agenda, y los hogares en pobreza extrema rara vez tienen voz para hacerlo. Los errores de exclusión no hacen ruido: quien nunca entra a un programa no aparece en ninguna noticia.</w:t>
                  </w:r>
                </w:p>
              </w:tc>
            </w:tr>
          </w:tbl>
          <w:p w14:paraId="49E0F66C">
            <w:pPr>
              <w:pStyle w:val="164"/>
            </w:pPr>
          </w:p>
        </w:tc>
        <w:tc>
          <w:tcPr>
            <w:tcW w:w="3679" w:type="dxa"/>
            <w:tcBorders>
              <w:left w:val="single" w:color="A7A3AB" w:sz="4" w:space="0"/>
            </w:tcBorders>
            <w:tcMar>
              <w:left w:w="198" w:type="dxa"/>
            </w:tcMar>
          </w:tcPr>
          <w:tbl>
            <w:tblPr>
              <w:tblStyle w:val="12"/>
              <w:tblW w:w="3481" w:type="dxa"/>
              <w:tblInd w:w="0" w:type="dxa"/>
              <w:tblLayout w:type="fixed"/>
              <w:tblCellMar>
                <w:top w:w="91" w:type="dxa"/>
                <w:left w:w="142" w:type="dxa"/>
                <w:bottom w:w="57" w:type="dxa"/>
                <w:right w:w="142" w:type="dxa"/>
              </w:tblCellMar>
            </w:tblPr>
            <w:tblGrid>
              <w:gridCol w:w="3481"/>
            </w:tblGrid>
            <w:tr w14:paraId="69792FB8">
              <w:tblPrEx>
                <w:tblCellMar>
                  <w:top w:w="91" w:type="dxa"/>
                  <w:left w:w="142" w:type="dxa"/>
                  <w:bottom w:w="57" w:type="dxa"/>
                  <w:right w:w="142" w:type="dxa"/>
                </w:tblCellMar>
              </w:tblPrEx>
              <w:tc>
                <w:tcPr>
                  <w:tcW w:w="3481" w:type="dxa"/>
                  <w:tcBorders>
                    <w:top w:val="single" w:color="1F6FB2" w:sz="24" w:space="0"/>
                  </w:tcBorders>
                  <w:shd w:val="clear" w:color="auto" w:fill="F4EFE4"/>
                </w:tcPr>
                <w:p w14:paraId="1E4E7583">
                  <w:pPr>
                    <w:pStyle w:val="191"/>
                    <w:spacing w:after="40"/>
                  </w:pPr>
                  <w:r>
                    <w:t>Glosario teórico</w:t>
                  </w:r>
                </w:p>
                <w:p w14:paraId="3A52679C">
                  <w:pPr>
                    <w:pStyle w:val="192"/>
                    <w:spacing w:after="50"/>
                  </w:pPr>
                  <w:r>
                    <w:rPr>
                      <w:rFonts w:ascii="Newsreader Text Bold" w:hAnsi="Newsreader Text Bold" w:eastAsia="Newsreader Text Bold" w:cs="Newsreader Text Bold"/>
                    </w:rPr>
                    <w:t>Problema social.</w:t>
                  </w:r>
                  <w:r>
                    <w:t xml:space="preserve"> Condición indeseable que afecta a un número significativo de personas y que se cree corregible mediante la acción colectiva.</w:t>
                  </w:r>
                </w:p>
                <w:p w14:paraId="6C85112E">
                  <w:pPr>
                    <w:pStyle w:val="192"/>
                    <w:spacing w:after="50"/>
                  </w:pPr>
                  <w:r>
                    <w:rPr>
                      <w:rFonts w:ascii="Newsreader Text Bold" w:hAnsi="Newsreader Text Bold" w:eastAsia="Newsreader Text Bold" w:cs="Newsreader Text Bold"/>
                    </w:rPr>
                    <w:t>Cuestión socialmente problematizada.</w:t>
                  </w:r>
                  <w:r>
                    <w:t xml:space="preserve"> Asunto que actores estratégicamente situados logran poner en la agenda pública (Oszlak y O’Donnell, en Suárez, 1989).</w:t>
                  </w:r>
                </w:p>
                <w:p w14:paraId="0458EF80">
                  <w:pPr>
                    <w:pStyle w:val="192"/>
                    <w:spacing w:after="50"/>
                  </w:pPr>
                  <w:r>
                    <w:rPr>
                      <w:rFonts w:ascii="Newsreader Text Bold" w:hAnsi="Newsreader Text Bold" w:eastAsia="Newsreader Text Bold" w:cs="Newsreader Text Bold"/>
                    </w:rPr>
                    <w:t>Problema de programa.</w:t>
                  </w:r>
                  <w:r>
                    <w:t xml:space="preserve"> Distancia entre lo que un programa debería lograr y su funcionamiento real: cobertura, rigidez, superposición o vulnerabilidad.</w:t>
                  </w:r>
                </w:p>
              </w:tc>
            </w:tr>
          </w:tbl>
          <w:p w14:paraId="35272A99">
            <w:pPr>
              <w:pStyle w:val="164"/>
            </w:pPr>
          </w:p>
          <w:p w14:paraId="3B7E7342">
            <w:pPr>
              <w:pStyle w:val="191"/>
              <w:spacing w:before="120" w:after="40"/>
            </w:pPr>
            <w:r>
              <w:t>Del problema a la política</w:t>
            </w:r>
          </w:p>
          <w:tbl>
            <w:tblPr>
              <w:tblStyle w:val="12"/>
              <w:tblW w:w="3481" w:type="dxa"/>
              <w:tblInd w:w="0" w:type="dxa"/>
              <w:tblLayout w:type="fixed"/>
              <w:tblCellMar>
                <w:top w:w="23" w:type="dxa"/>
                <w:left w:w="57" w:type="dxa"/>
                <w:bottom w:w="23" w:type="dxa"/>
                <w:right w:w="68" w:type="dxa"/>
              </w:tblCellMar>
            </w:tblPr>
            <w:tblGrid>
              <w:gridCol w:w="397"/>
              <w:gridCol w:w="3084"/>
            </w:tblGrid>
            <w:tr w14:paraId="22339100">
              <w:tblPrEx>
                <w:tblCellMar>
                  <w:top w:w="23" w:type="dxa"/>
                  <w:left w:w="57" w:type="dxa"/>
                  <w:bottom w:w="23" w:type="dxa"/>
                  <w:right w:w="68" w:type="dxa"/>
                </w:tblCellMar>
              </w:tblPrEx>
              <w:tc>
                <w:tcPr>
                  <w:tcW w:w="397" w:type="dxa"/>
                  <w:tcBorders>
                    <w:bottom w:val="single" w:color="FFFFFF" w:sz="18" w:space="0"/>
                  </w:tcBorders>
                  <w:shd w:val="clear" w:color="auto" w:fill="1F6FB2"/>
                  <w:vAlign w:val="center"/>
                </w:tcPr>
                <w:p w14:paraId="29C5938C">
                  <w:pPr>
                    <w:pStyle w:val="194"/>
                  </w:pPr>
                  <w:r>
                    <w:t>1</w:t>
                  </w:r>
                </w:p>
              </w:tc>
              <w:tc>
                <w:tcPr>
                  <w:tcW w:w="3084" w:type="dxa"/>
                  <w:tcBorders>
                    <w:bottom w:val="single" w:color="FFFFFF" w:sz="18" w:space="0"/>
                  </w:tcBorders>
                  <w:shd w:val="clear" w:color="auto" w:fill="E3EDF6"/>
                  <w:vAlign w:val="center"/>
                </w:tcPr>
                <w:p w14:paraId="65B86D4A">
                  <w:pPr>
                    <w:pStyle w:val="192"/>
                    <w:spacing w:after="0"/>
                  </w:pPr>
                  <w:r>
                    <w:rPr>
                      <w:rFonts w:ascii="Newsreader Text Bold" w:hAnsi="Newsreader Text Bold" w:eastAsia="Newsreader Text Bold" w:cs="Newsreader Text Bold"/>
                    </w:rPr>
                    <w:t>Redefinición:</w:t>
                  </w:r>
                  <w:r>
                    <w:t xml:space="preserve"> lo aislado se ve como un problema compartido.</w:t>
                  </w:r>
                </w:p>
              </w:tc>
            </w:tr>
            <w:tr w14:paraId="0C1C3055">
              <w:tblPrEx>
                <w:tblCellMar>
                  <w:top w:w="23" w:type="dxa"/>
                  <w:left w:w="57" w:type="dxa"/>
                  <w:bottom w:w="23" w:type="dxa"/>
                  <w:right w:w="68" w:type="dxa"/>
                </w:tblCellMar>
              </w:tblPrEx>
              <w:tc>
                <w:tcPr>
                  <w:tcW w:w="397" w:type="dxa"/>
                  <w:tcBorders>
                    <w:bottom w:val="single" w:color="FFFFFF" w:sz="18" w:space="0"/>
                  </w:tcBorders>
                  <w:shd w:val="clear" w:color="auto" w:fill="1F6FB2"/>
                  <w:vAlign w:val="center"/>
                </w:tcPr>
                <w:p w14:paraId="635D0E5E">
                  <w:pPr>
                    <w:pStyle w:val="194"/>
                  </w:pPr>
                  <w:r>
                    <w:t>2</w:t>
                  </w:r>
                </w:p>
              </w:tc>
              <w:tc>
                <w:tcPr>
                  <w:tcW w:w="3084" w:type="dxa"/>
                  <w:tcBorders>
                    <w:bottom w:val="single" w:color="FFFFFF" w:sz="18" w:space="0"/>
                  </w:tcBorders>
                  <w:shd w:val="clear" w:color="auto" w:fill="E3EDF6"/>
                  <w:vAlign w:val="center"/>
                </w:tcPr>
                <w:p w14:paraId="3D273C4C">
                  <w:pPr>
                    <w:pStyle w:val="192"/>
                    <w:spacing w:after="0"/>
                  </w:pPr>
                  <w:r>
                    <w:rPr>
                      <w:rFonts w:ascii="Newsreader Text Bold" w:hAnsi="Newsreader Text Bold" w:eastAsia="Newsreader Text Bold" w:cs="Newsreader Text Bold"/>
                    </w:rPr>
                    <w:t>Focalización</w:t>
                  </w:r>
                  <w:r>
                    <w:t xml:space="preserve"> del descontento en aspectos salientes.</w:t>
                  </w:r>
                </w:p>
              </w:tc>
            </w:tr>
            <w:tr w14:paraId="603933CF">
              <w:tblPrEx>
                <w:tblCellMar>
                  <w:top w:w="23" w:type="dxa"/>
                  <w:left w:w="57" w:type="dxa"/>
                  <w:bottom w:w="23" w:type="dxa"/>
                  <w:right w:w="68" w:type="dxa"/>
                </w:tblCellMar>
              </w:tblPrEx>
              <w:tc>
                <w:tcPr>
                  <w:tcW w:w="397" w:type="dxa"/>
                  <w:tcBorders>
                    <w:bottom w:val="single" w:color="FFFFFF" w:sz="18" w:space="0"/>
                  </w:tcBorders>
                  <w:shd w:val="clear" w:color="auto" w:fill="1F6FB2"/>
                  <w:vAlign w:val="center"/>
                </w:tcPr>
                <w:p w14:paraId="4F0173E6">
                  <w:pPr>
                    <w:pStyle w:val="194"/>
                  </w:pPr>
                  <w:r>
                    <w:t>3</w:t>
                  </w:r>
                </w:p>
              </w:tc>
              <w:tc>
                <w:tcPr>
                  <w:tcW w:w="3084" w:type="dxa"/>
                  <w:tcBorders>
                    <w:bottom w:val="single" w:color="FFFFFF" w:sz="18" w:space="0"/>
                  </w:tcBorders>
                  <w:shd w:val="clear" w:color="auto" w:fill="E3EDF6"/>
                  <w:vAlign w:val="center"/>
                </w:tcPr>
                <w:p w14:paraId="64858593">
                  <w:pPr>
                    <w:pStyle w:val="192"/>
                    <w:spacing w:after="0"/>
                  </w:pPr>
                  <w:r>
                    <w:rPr>
                      <w:rFonts w:ascii="Newsreader Text Bold" w:hAnsi="Newsreader Text Bold" w:eastAsia="Newsreader Text Bold" w:cs="Newsreader Text Bold"/>
                    </w:rPr>
                    <w:t>Atención pública</w:t>
                  </w:r>
                  <w:r>
                    <w:t>, sobre todo a través de los medios.</w:t>
                  </w:r>
                </w:p>
              </w:tc>
            </w:tr>
            <w:tr w14:paraId="42C1192E">
              <w:tblPrEx>
                <w:tblCellMar>
                  <w:top w:w="23" w:type="dxa"/>
                  <w:left w:w="57" w:type="dxa"/>
                  <w:bottom w:w="23" w:type="dxa"/>
                  <w:right w:w="68" w:type="dxa"/>
                </w:tblCellMar>
              </w:tblPrEx>
              <w:tc>
                <w:tcPr>
                  <w:tcW w:w="397" w:type="dxa"/>
                  <w:tcBorders>
                    <w:bottom w:val="single" w:color="FFFFFF" w:sz="18" w:space="0"/>
                  </w:tcBorders>
                  <w:shd w:val="clear" w:color="auto" w:fill="1F6FB2"/>
                  <w:vAlign w:val="center"/>
                </w:tcPr>
                <w:p w14:paraId="708031B8">
                  <w:pPr>
                    <w:pStyle w:val="194"/>
                  </w:pPr>
                  <w:r>
                    <w:t>4</w:t>
                  </w:r>
                </w:p>
              </w:tc>
              <w:tc>
                <w:tcPr>
                  <w:tcW w:w="3084" w:type="dxa"/>
                  <w:tcBorders>
                    <w:bottom w:val="single" w:color="FFFFFF" w:sz="18" w:space="0"/>
                  </w:tcBorders>
                  <w:shd w:val="clear" w:color="auto" w:fill="E3EDF6"/>
                  <w:vAlign w:val="center"/>
                </w:tcPr>
                <w:p w14:paraId="20C4EA6D">
                  <w:pPr>
                    <w:pStyle w:val="192"/>
                    <w:spacing w:after="0"/>
                  </w:pPr>
                  <w:r>
                    <w:rPr>
                      <w:rFonts w:ascii="Newsreader Text Bold" w:hAnsi="Newsreader Text Bold" w:eastAsia="Newsreader Text Bold" w:cs="Newsreader Text Bold"/>
                    </w:rPr>
                    <w:t>Grupos de presión</w:t>
                  </w:r>
                  <w:r>
                    <w:t xml:space="preserve"> y movimientos sociales.</w:t>
                  </w:r>
                </w:p>
              </w:tc>
            </w:tr>
            <w:tr w14:paraId="569CCD18">
              <w:tblPrEx>
                <w:tblCellMar>
                  <w:top w:w="23" w:type="dxa"/>
                  <w:left w:w="57" w:type="dxa"/>
                  <w:bottom w:w="23" w:type="dxa"/>
                  <w:right w:w="68" w:type="dxa"/>
                </w:tblCellMar>
              </w:tblPrEx>
              <w:tc>
                <w:tcPr>
                  <w:tcW w:w="397" w:type="dxa"/>
                  <w:tcBorders>
                    <w:bottom w:val="single" w:color="FFFFFF" w:sz="18" w:space="0"/>
                  </w:tcBorders>
                  <w:shd w:val="clear" w:color="auto" w:fill="1E1C22"/>
                  <w:vAlign w:val="center"/>
                </w:tcPr>
                <w:p w14:paraId="20FEC9AB">
                  <w:pPr>
                    <w:pStyle w:val="194"/>
                  </w:pPr>
                  <w:r>
                    <w:t>»</w:t>
                  </w:r>
                </w:p>
              </w:tc>
              <w:tc>
                <w:tcPr>
                  <w:tcW w:w="3084" w:type="dxa"/>
                  <w:tcBorders>
                    <w:bottom w:val="single" w:color="FFFFFF" w:sz="18" w:space="0"/>
                  </w:tcBorders>
                  <w:shd w:val="clear" w:color="auto" w:fill="F4EFE4"/>
                  <w:vAlign w:val="center"/>
                </w:tcPr>
                <w:p w14:paraId="558EC24E">
                  <w:pPr>
                    <w:pStyle w:val="192"/>
                    <w:spacing w:after="0"/>
                  </w:pPr>
                  <w:r>
                    <w:rPr>
                      <w:rFonts w:ascii="Newsreader Text Bold" w:hAnsi="Newsreader Text Bold" w:eastAsia="Newsreader Text Bold" w:cs="Newsreader Text Bold"/>
                    </w:rPr>
                    <w:t>Cuestión:</w:t>
                  </w:r>
                  <w:r>
                    <w:t xml:space="preserve"> debate sobre la política y sus programas.</w:t>
                  </w:r>
                </w:p>
              </w:tc>
            </w:tr>
          </w:tbl>
          <w:p w14:paraId="108DBA9D">
            <w:pPr>
              <w:pStyle w:val="164"/>
            </w:pPr>
          </w:p>
          <w:p w14:paraId="6F7671A3">
            <w:pPr>
              <w:pStyle w:val="191"/>
              <w:spacing w:before="120" w:after="20"/>
            </w:pPr>
            <w:r>
              <w:t>Datos clave</w:t>
            </w:r>
          </w:p>
          <w:tbl>
            <w:tblPr>
              <w:tblStyle w:val="12"/>
              <w:tblW w:w="3481" w:type="dxa"/>
              <w:tblInd w:w="0" w:type="dxa"/>
              <w:tblLayout w:type="fixed"/>
              <w:tblCellMar>
                <w:top w:w="28" w:type="dxa"/>
                <w:left w:w="0" w:type="dxa"/>
                <w:bottom w:w="28" w:type="dxa"/>
                <w:right w:w="57" w:type="dxa"/>
              </w:tblCellMar>
            </w:tblPr>
            <w:tblGrid>
              <w:gridCol w:w="1106"/>
              <w:gridCol w:w="2375"/>
            </w:tblGrid>
            <w:tr w14:paraId="799F4519">
              <w:tblPrEx>
                <w:tblCellMar>
                  <w:top w:w="28" w:type="dxa"/>
                  <w:left w:w="0" w:type="dxa"/>
                  <w:bottom w:w="28" w:type="dxa"/>
                  <w:right w:w="57" w:type="dxa"/>
                </w:tblCellMar>
              </w:tblPrEx>
              <w:tc>
                <w:tcPr>
                  <w:tcW w:w="1106" w:type="dxa"/>
                  <w:tcBorders>
                    <w:bottom w:val="single" w:color="A7A3AB" w:sz="4" w:space="0"/>
                  </w:tcBorders>
                  <w:vAlign w:val="center"/>
                </w:tcPr>
                <w:p w14:paraId="45CB7BC5">
                  <w:pPr>
                    <w:pStyle w:val="193"/>
                  </w:pPr>
                  <w:r>
                    <w:t>28,0 %</w:t>
                  </w:r>
                </w:p>
              </w:tc>
              <w:tc>
                <w:tcPr>
                  <w:tcW w:w="2375" w:type="dxa"/>
                  <w:tcBorders>
                    <w:bottom w:val="single" w:color="A7A3AB" w:sz="4" w:space="0"/>
                  </w:tcBorders>
                  <w:vAlign w:val="center"/>
                </w:tcPr>
                <w:p w14:paraId="4A97F5C6">
                  <w:pPr>
                    <w:pStyle w:val="192"/>
                    <w:spacing w:after="0"/>
                  </w:pPr>
                  <w:r>
                    <w:t>pobreza monetaria, 2025 (DANE, 2026)</w:t>
                  </w:r>
                </w:p>
              </w:tc>
            </w:tr>
            <w:tr w14:paraId="563C7773">
              <w:tblPrEx>
                <w:tblCellMar>
                  <w:top w:w="28" w:type="dxa"/>
                  <w:left w:w="0" w:type="dxa"/>
                  <w:bottom w:w="28" w:type="dxa"/>
                  <w:right w:w="57" w:type="dxa"/>
                </w:tblCellMar>
              </w:tblPrEx>
              <w:tc>
                <w:tcPr>
                  <w:tcW w:w="1106" w:type="dxa"/>
                  <w:tcBorders>
                    <w:bottom w:val="single" w:color="A7A3AB" w:sz="4" w:space="0"/>
                  </w:tcBorders>
                  <w:vAlign w:val="center"/>
                </w:tcPr>
                <w:p w14:paraId="581DDF00">
                  <w:pPr>
                    <w:pStyle w:val="193"/>
                  </w:pPr>
                  <w:r>
                    <w:t>49 %</w:t>
                  </w:r>
                </w:p>
              </w:tc>
              <w:tc>
                <w:tcPr>
                  <w:tcW w:w="2375" w:type="dxa"/>
                  <w:tcBorders>
                    <w:bottom w:val="single" w:color="A7A3AB" w:sz="4" w:space="0"/>
                  </w:tcBorders>
                  <w:vAlign w:val="center"/>
                </w:tcPr>
                <w:p w14:paraId="6EC79BC5">
                  <w:pPr>
                    <w:pStyle w:val="192"/>
                    <w:spacing w:after="0"/>
                  </w:pPr>
                  <w:r>
                    <w:t>hogares de Renta Ciudadana en riesgo (El Tiempo, 2026)</w:t>
                  </w:r>
                </w:p>
              </w:tc>
            </w:tr>
            <w:tr w14:paraId="102D278E">
              <w:tblPrEx>
                <w:tblCellMar>
                  <w:top w:w="28" w:type="dxa"/>
                  <w:left w:w="0" w:type="dxa"/>
                  <w:bottom w:w="28" w:type="dxa"/>
                  <w:right w:w="57" w:type="dxa"/>
                </w:tblCellMar>
              </w:tblPrEx>
              <w:tc>
                <w:tcPr>
                  <w:tcW w:w="1106" w:type="dxa"/>
                  <w:tcBorders>
                    <w:bottom w:val="single" w:color="A7A3AB" w:sz="4" w:space="0"/>
                  </w:tcBorders>
                  <w:vAlign w:val="center"/>
                </w:tcPr>
                <w:p w14:paraId="6A2C0CE4">
                  <w:pPr>
                    <w:pStyle w:val="193"/>
                  </w:pPr>
                  <w:r>
                    <w:t>49,9 %</w:t>
                  </w:r>
                </w:p>
              </w:tc>
              <w:tc>
                <w:tcPr>
                  <w:tcW w:w="2375" w:type="dxa"/>
                  <w:tcBorders>
                    <w:bottom w:val="single" w:color="A7A3AB" w:sz="4" w:space="0"/>
                  </w:tcBorders>
                  <w:vAlign w:val="center"/>
                </w:tcPr>
                <w:p w14:paraId="1B6D709B">
                  <w:pPr>
                    <w:pStyle w:val="192"/>
                    <w:spacing w:after="0"/>
                  </w:pPr>
                  <w:r>
                    <w:t>error de inclusión del Sisbén III, 2015 (DNP, 2016)</w:t>
                  </w:r>
                </w:p>
              </w:tc>
            </w:tr>
          </w:tbl>
          <w:p w14:paraId="248240F0">
            <w:pPr>
              <w:pStyle w:val="164"/>
            </w:pPr>
          </w:p>
        </w:tc>
      </w:tr>
    </w:tbl>
    <w:p w14:paraId="6BD48A3F">
      <w:pPr>
        <w:pStyle w:val="164"/>
      </w:pPr>
    </w:p>
    <w:tbl>
      <w:tblPr>
        <w:tblStyle w:val="12"/>
        <w:tblW w:w="10879" w:type="dxa"/>
        <w:tblInd w:w="0" w:type="dxa"/>
        <w:tblLayout w:type="fixed"/>
        <w:tblCellMar>
          <w:top w:w="102" w:type="dxa"/>
          <w:left w:w="198" w:type="dxa"/>
          <w:bottom w:w="91" w:type="dxa"/>
          <w:right w:w="198" w:type="dxa"/>
        </w:tblCellMar>
      </w:tblPr>
      <w:tblGrid>
        <w:gridCol w:w="10879"/>
      </w:tblGrid>
      <w:tr w14:paraId="5CE760DA">
        <w:tblPrEx>
          <w:tblCellMar>
            <w:top w:w="102" w:type="dxa"/>
            <w:left w:w="198" w:type="dxa"/>
            <w:bottom w:w="91" w:type="dxa"/>
            <w:right w:w="198" w:type="dxa"/>
          </w:tblCellMar>
        </w:tblPrEx>
        <w:tc>
          <w:tcPr>
            <w:tcW w:w="10879" w:type="dxa"/>
            <w:tcBorders>
              <w:left w:val="single" w:color="1F6FB2" w:sz="36" w:space="0"/>
            </w:tcBorders>
            <w:shd w:val="clear" w:color="auto" w:fill="E3EDF6"/>
          </w:tcPr>
          <w:p w14:paraId="2DE77036">
            <w:pPr>
              <w:pStyle w:val="191"/>
            </w:pPr>
            <w:r>
              <w:t>Conclusión · Recomendación desde el Trabajo Social Crítico</w:t>
            </w:r>
          </w:p>
          <w:p w14:paraId="0A2A7CB4">
            <w:pPr>
              <w:pStyle w:val="188"/>
              <w:spacing w:after="0"/>
            </w:pPr>
            <w:r>
              <w:t xml:space="preserve">Recomendamos que la transición al RUI no se ejecute como un simple cruce de bases de datos, sino como un proceso participativo con tres componentes: </w:t>
            </w:r>
            <w:r>
              <w:rPr>
                <w:rFonts w:ascii="Newsreader Text Bold" w:hAnsi="Newsreader Text Bold" w:eastAsia="Newsreader Text Bold" w:cs="Newsreader Text Bold"/>
              </w:rPr>
              <w:t>(1)</w:t>
            </w:r>
            <w:r>
              <w:t xml:space="preserve"> un periodo de transición que garantice la continuidad de los hogares en pobreza extrema mientras se verifica su situación en territorio; </w:t>
            </w:r>
            <w:r>
              <w:rPr>
                <w:rFonts w:ascii="Newsreader Text Bold" w:hAnsi="Newsreader Text Bold" w:eastAsia="Newsreader Text Bold" w:cs="Newsreader Text Bold"/>
              </w:rPr>
              <w:t>(2)</w:t>
            </w:r>
            <w:r>
              <w:t xml:space="preserve"> mesas de revisión comunitaria y rutas de reclamación accesibles, acompañadas por trabajadoras y trabajadores sociales, para reducir los errores de exclusión, y </w:t>
            </w:r>
            <w:r>
              <w:rPr>
                <w:rFonts w:ascii="Newsreader Text Bold" w:hAnsi="Newsreader Text Bold" w:eastAsia="Newsreader Text Bold" w:cs="Newsreader Text Bold"/>
              </w:rPr>
              <w:t>(3)</w:t>
            </w:r>
            <w:r>
              <w:t xml:space="preserve"> un seguimiento que mida por qué salen los hogares del registro y qué les ocurre después. Desde el Trabajo Social Crítico, el propósito no es depurar listas sino garantizar derechos: los hogares son sujetos con voz, no datos por validar.</w:t>
            </w:r>
          </w:p>
        </w:tc>
      </w:tr>
    </w:tbl>
    <w:p w14:paraId="29845175">
      <w:pPr>
        <w:pStyle w:val="195"/>
        <w:spacing w:before="80" w:after="0"/>
      </w:pPr>
      <w:r>
        <w:rPr>
          <w:rFonts w:ascii="Newsreader Text Bold" w:hAnsi="Newsreader Text Bold" w:eastAsia="Newsreader Text Bold" w:cs="Newsreader Text Bold"/>
        </w:rPr>
        <w:t>Fuentes:</w:t>
      </w:r>
      <w:r>
        <w:t xml:space="preserve"> DANE (2026); DNP (2016); El Tiempo (2026); Suárez (1989). Referencias completas en la página 6.</w:t>
      </w:r>
    </w:p>
    <w:p w14:paraId="45D36D50">
      <w:pPr>
        <w:pStyle w:val="164"/>
        <w:sectPr>
          <w:pgSz w:w="12240" w:h="15840"/>
          <w:pgMar w:top="964" w:right="680" w:bottom="737" w:left="680" w:header="397" w:footer="312" w:gutter="0"/>
          <w:cols w:space="720" w:num="1"/>
          <w:docGrid w:linePitch="360" w:charSpace="0"/>
        </w:sectPr>
      </w:pPr>
    </w:p>
    <w:tbl>
      <w:tblPr>
        <w:tblStyle w:val="12"/>
        <w:tblW w:w="14479" w:type="dxa"/>
        <w:tblInd w:w="0" w:type="dxa"/>
        <w:tblLayout w:type="fixed"/>
        <w:tblCellMar>
          <w:top w:w="0" w:type="dxa"/>
          <w:left w:w="0" w:type="dxa"/>
          <w:bottom w:w="34" w:type="dxa"/>
          <w:right w:w="0" w:type="dxa"/>
        </w:tblCellMar>
      </w:tblPr>
      <w:tblGrid>
        <w:gridCol w:w="9267"/>
        <w:gridCol w:w="5213"/>
      </w:tblGrid>
      <w:tr w14:paraId="6F05763A">
        <w:tblPrEx>
          <w:tblCellMar>
            <w:top w:w="0" w:type="dxa"/>
            <w:left w:w="0" w:type="dxa"/>
            <w:bottom w:w="34" w:type="dxa"/>
            <w:right w:w="0" w:type="dxa"/>
          </w:tblCellMar>
        </w:tblPrEx>
        <w:tc>
          <w:tcPr>
            <w:tcW w:w="9267" w:type="dxa"/>
            <w:tcBorders>
              <w:bottom w:val="single" w:color="1E1C22" w:sz="18" w:space="0"/>
            </w:tcBorders>
            <w:vAlign w:val="bottom"/>
          </w:tcPr>
          <w:p w14:paraId="503D11FF">
            <w:pPr>
              <w:pStyle w:val="202"/>
            </w:pPr>
            <w:r>
              <w:t>Pasatiempos</w:t>
            </w:r>
            <w:r>
              <w:rPr>
                <w:rFonts w:ascii="Newsreader Display Italic" w:hAnsi="Newsreader Display Italic" w:eastAsia="Newsreader Display Italic" w:cs="Newsreader Display Italic"/>
                <w:caps w:val="0"/>
                <w:color w:val="6E6A72"/>
                <w:sz w:val="28"/>
              </w:rPr>
              <w:t xml:space="preserve">   El crucigrama de la cuestión social</w:t>
            </w:r>
          </w:p>
        </w:tc>
        <w:tc>
          <w:tcPr>
            <w:tcW w:w="5213" w:type="dxa"/>
            <w:tcBorders>
              <w:bottom w:val="single" w:color="1E1C22" w:sz="18" w:space="0"/>
            </w:tcBorders>
            <w:vAlign w:val="bottom"/>
          </w:tcPr>
          <w:p w14:paraId="2BB8429D">
            <w:pPr>
              <w:pStyle w:val="169"/>
              <w:jc w:val="right"/>
            </w:pPr>
            <w:r>
              <w:rPr>
                <w:rFonts w:ascii="Oswald Bold" w:hAnsi="Oswald Bold" w:eastAsia="Oswald Bold" w:cs="Oswald Bold"/>
                <w:color w:val="1F6FB2"/>
              </w:rPr>
              <w:t>23 CONCEPTOS</w:t>
            </w:r>
          </w:p>
          <w:p w14:paraId="1E3F8722">
            <w:pPr>
              <w:pStyle w:val="169"/>
              <w:jc w:val="right"/>
            </w:pPr>
            <w:r>
              <w:t>Lectura de Suárez y teorías del curso</w:t>
            </w:r>
          </w:p>
        </w:tc>
      </w:tr>
    </w:tbl>
    <w:p w14:paraId="5B5DAB7B">
      <w:pPr>
        <w:pStyle w:val="182"/>
        <w:spacing w:before="80" w:after="100" w:line="270" w:lineRule="exact"/>
      </w:pPr>
      <w:r>
        <w:rPr>
          <w:sz w:val="22"/>
        </w:rPr>
        <w:t>Pon a prueba tu lente sociológico con conceptos de Suárez y de las teorías de las próximas ediciones. Escribe sin tildes, una letra por casilla.</w:t>
      </w:r>
    </w:p>
    <w:tbl>
      <w:tblPr>
        <w:tblStyle w:val="12"/>
        <w:tblW w:w="14479" w:type="dxa"/>
        <w:tblInd w:w="0" w:type="dxa"/>
        <w:tblLayout w:type="fixed"/>
        <w:tblCellMar>
          <w:top w:w="0" w:type="dxa"/>
          <w:left w:w="0" w:type="dxa"/>
          <w:bottom w:w="0" w:type="dxa"/>
          <w:right w:w="0" w:type="dxa"/>
        </w:tblCellMar>
      </w:tblPr>
      <w:tblGrid>
        <w:gridCol w:w="7313"/>
        <w:gridCol w:w="340"/>
        <w:gridCol w:w="6826"/>
      </w:tblGrid>
      <w:tr w14:paraId="54372E86">
        <w:tblPrEx>
          <w:tblCellMar>
            <w:top w:w="0" w:type="dxa"/>
            <w:left w:w="0" w:type="dxa"/>
            <w:bottom w:w="0" w:type="dxa"/>
            <w:right w:w="0" w:type="dxa"/>
          </w:tblCellMar>
        </w:tblPrEx>
        <w:tc>
          <w:tcPr>
            <w:tcW w:w="7313" w:type="dxa"/>
          </w:tcPr>
          <w:tbl>
            <w:tblPr>
              <w:tblStyle w:val="12"/>
              <w:tblW w:w="7109" w:type="dxa"/>
              <w:tblInd w:w="0" w:type="dxa"/>
              <w:tblLayout w:type="fixed"/>
              <w:tblCellMar>
                <w:top w:w="0" w:type="dxa"/>
                <w:left w:w="17" w:type="dxa"/>
                <w:bottom w:w="0" w:type="dxa"/>
                <w:right w:w="11" w:type="dxa"/>
              </w:tblCellMar>
            </w:tblPr>
            <w:tblGrid>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tblGrid>
            <w:tr w14:paraId="0129C13B">
              <w:tblPrEx>
                <w:tblCellMar>
                  <w:top w:w="0" w:type="dxa"/>
                  <w:left w:w="17" w:type="dxa"/>
                  <w:bottom w:w="0" w:type="dxa"/>
                  <w:right w:w="11" w:type="dxa"/>
                </w:tblCellMar>
              </w:tblPrEx>
              <w:trPr>
                <w:trHeight w:val="374" w:hRule="exact"/>
              </w:trPr>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1114E26">
                  <w:pPr>
                    <w:pStyle w:val="197"/>
                  </w:pPr>
                  <w:r>
                    <w:t>1</w:t>
                  </w:r>
                </w:p>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3197332"/>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EA340B6">
                  <w:pPr>
                    <w:pStyle w:val="197"/>
                  </w:pPr>
                  <w:r>
                    <w:t>2</w:t>
                  </w:r>
                </w:p>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4D9B90D"/>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D48686E"/>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7A2A669"/>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155A096"/>
              </w:tc>
              <w:tc>
                <w:tcPr>
                  <w:tcW w:w="374" w:type="dxa"/>
                  <w:shd w:val="clear" w:color="auto" w:fill="F4EFE4"/>
                </w:tcPr>
                <w:p w14:paraId="123CF17D"/>
              </w:tc>
              <w:tc>
                <w:tcPr>
                  <w:tcW w:w="374" w:type="dxa"/>
                  <w:shd w:val="clear" w:color="auto" w:fill="F4EFE4"/>
                </w:tcPr>
                <w:p w14:paraId="4E927B6E"/>
              </w:tc>
              <w:tc>
                <w:tcPr>
                  <w:tcW w:w="374" w:type="dxa"/>
                  <w:shd w:val="clear" w:color="auto" w:fill="F4EFE4"/>
                </w:tcPr>
                <w:p w14:paraId="6D290478"/>
              </w:tc>
              <w:tc>
                <w:tcPr>
                  <w:tcW w:w="374" w:type="dxa"/>
                  <w:shd w:val="clear" w:color="auto" w:fill="F4EFE4"/>
                </w:tcPr>
                <w:p w14:paraId="468B5501"/>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0336A668">
                  <w:pPr>
                    <w:pStyle w:val="197"/>
                  </w:pPr>
                  <w:r>
                    <w:t>3</w:t>
                  </w:r>
                </w:p>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CBFB2D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0D7BC912"/>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8C81308"/>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6F789BE"/>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DFBB8B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36722DB7">
                  <w:pPr>
                    <w:pStyle w:val="197"/>
                  </w:pPr>
                  <w:r>
                    <w:t>4</w:t>
                  </w:r>
                </w:p>
              </w:tc>
              <w:tc>
                <w:tcPr>
                  <w:tcW w:w="374" w:type="dxa"/>
                  <w:shd w:val="clear" w:color="auto" w:fill="F4EFE4"/>
                </w:tcPr>
                <w:p w14:paraId="7C611943"/>
              </w:tc>
            </w:tr>
            <w:tr w14:paraId="130A2F98">
              <w:tblPrEx>
                <w:tblCellMar>
                  <w:top w:w="0" w:type="dxa"/>
                  <w:left w:w="17" w:type="dxa"/>
                  <w:bottom w:w="0" w:type="dxa"/>
                  <w:right w:w="11" w:type="dxa"/>
                </w:tblCellMar>
              </w:tblPrEx>
              <w:trPr>
                <w:trHeight w:val="374" w:hRule="exact"/>
              </w:trPr>
              <w:tc>
                <w:tcPr>
                  <w:tcW w:w="374" w:type="dxa"/>
                  <w:shd w:val="clear" w:color="auto" w:fill="F4EFE4"/>
                </w:tcPr>
                <w:p w14:paraId="617BF007"/>
              </w:tc>
              <w:tc>
                <w:tcPr>
                  <w:tcW w:w="374" w:type="dxa"/>
                  <w:shd w:val="clear" w:color="auto" w:fill="F4EFE4"/>
                </w:tcPr>
                <w:p w14:paraId="0415C612"/>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3D5B4C08"/>
              </w:tc>
              <w:tc>
                <w:tcPr>
                  <w:tcW w:w="374" w:type="dxa"/>
                  <w:shd w:val="clear" w:color="auto" w:fill="F4EFE4"/>
                </w:tcPr>
                <w:p w14:paraId="41612F70"/>
              </w:tc>
              <w:tc>
                <w:tcPr>
                  <w:tcW w:w="374" w:type="dxa"/>
                  <w:shd w:val="clear" w:color="auto" w:fill="F4EFE4"/>
                </w:tcPr>
                <w:p w14:paraId="05182A0F"/>
              </w:tc>
              <w:tc>
                <w:tcPr>
                  <w:tcW w:w="374" w:type="dxa"/>
                  <w:shd w:val="clear" w:color="auto" w:fill="F4EFE4"/>
                </w:tcPr>
                <w:p w14:paraId="0DD77FAD"/>
              </w:tc>
              <w:tc>
                <w:tcPr>
                  <w:tcW w:w="374" w:type="dxa"/>
                  <w:shd w:val="clear" w:color="auto" w:fill="F4EFE4"/>
                </w:tcPr>
                <w:p w14:paraId="03B026D4"/>
              </w:tc>
              <w:tc>
                <w:tcPr>
                  <w:tcW w:w="374" w:type="dxa"/>
                  <w:shd w:val="clear" w:color="auto" w:fill="F4EFE4"/>
                </w:tcPr>
                <w:p w14:paraId="2731A62C"/>
              </w:tc>
              <w:tc>
                <w:tcPr>
                  <w:tcW w:w="374" w:type="dxa"/>
                  <w:shd w:val="clear" w:color="auto" w:fill="F4EFE4"/>
                </w:tcPr>
                <w:p w14:paraId="315D7608"/>
              </w:tc>
              <w:tc>
                <w:tcPr>
                  <w:tcW w:w="374" w:type="dxa"/>
                  <w:shd w:val="clear" w:color="auto" w:fill="F4EFE4"/>
                </w:tcPr>
                <w:p w14:paraId="23109C6A"/>
              </w:tc>
              <w:tc>
                <w:tcPr>
                  <w:tcW w:w="374" w:type="dxa"/>
                  <w:shd w:val="clear" w:color="auto" w:fill="F4EFE4"/>
                </w:tcPr>
                <w:p w14:paraId="48ACE6FA"/>
              </w:tc>
              <w:tc>
                <w:tcPr>
                  <w:tcW w:w="374" w:type="dxa"/>
                  <w:shd w:val="clear" w:color="auto" w:fill="F4EFE4"/>
                </w:tcPr>
                <w:p w14:paraId="7282AC9F"/>
              </w:tc>
              <w:tc>
                <w:tcPr>
                  <w:tcW w:w="374" w:type="dxa"/>
                  <w:shd w:val="clear" w:color="auto" w:fill="F4EFE4"/>
                </w:tcPr>
                <w:p w14:paraId="645DDB96"/>
              </w:tc>
              <w:tc>
                <w:tcPr>
                  <w:tcW w:w="374" w:type="dxa"/>
                  <w:shd w:val="clear" w:color="auto" w:fill="F4EFE4"/>
                </w:tcPr>
                <w:p w14:paraId="6099567A"/>
              </w:tc>
              <w:tc>
                <w:tcPr>
                  <w:tcW w:w="374" w:type="dxa"/>
                  <w:shd w:val="clear" w:color="auto" w:fill="F4EFE4"/>
                </w:tcPr>
                <w:p w14:paraId="20D9795E"/>
              </w:tc>
              <w:tc>
                <w:tcPr>
                  <w:tcW w:w="374" w:type="dxa"/>
                  <w:shd w:val="clear" w:color="auto" w:fill="F4EFE4"/>
                </w:tcPr>
                <w:p w14:paraId="4C80AAC8"/>
              </w:tc>
              <w:tc>
                <w:tcPr>
                  <w:tcW w:w="374" w:type="dxa"/>
                  <w:shd w:val="clear" w:color="auto" w:fill="F4EFE4"/>
                </w:tcPr>
                <w:p w14:paraId="1234C3DB"/>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1A28A66"/>
              </w:tc>
              <w:tc>
                <w:tcPr>
                  <w:tcW w:w="374" w:type="dxa"/>
                  <w:shd w:val="clear" w:color="auto" w:fill="F4EFE4"/>
                </w:tcPr>
                <w:p w14:paraId="7E8CC787"/>
              </w:tc>
            </w:tr>
            <w:tr w14:paraId="4958E10A">
              <w:tblPrEx>
                <w:tblCellMar>
                  <w:top w:w="0" w:type="dxa"/>
                  <w:left w:w="17" w:type="dxa"/>
                  <w:bottom w:w="0" w:type="dxa"/>
                  <w:right w:w="11" w:type="dxa"/>
                </w:tblCellMar>
              </w:tblPrEx>
              <w:trPr>
                <w:trHeight w:val="374" w:hRule="exact"/>
              </w:trPr>
              <w:tc>
                <w:tcPr>
                  <w:tcW w:w="374" w:type="dxa"/>
                  <w:shd w:val="clear" w:color="auto" w:fill="F4EFE4"/>
                </w:tcPr>
                <w:p w14:paraId="26C2EDF3"/>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0D1701E1">
                  <w:pPr>
                    <w:pStyle w:val="197"/>
                  </w:pPr>
                  <w:r>
                    <w:t>5</w:t>
                  </w:r>
                </w:p>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3B0CC243"/>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3161248"/>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AE84E33"/>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5E06162"/>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21BCEDA"/>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A5D3E33"/>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03A9ACFE"/>
              </w:tc>
              <w:tc>
                <w:tcPr>
                  <w:tcW w:w="374" w:type="dxa"/>
                  <w:shd w:val="clear" w:color="auto" w:fill="F4EFE4"/>
                </w:tcPr>
                <w:p w14:paraId="7899E0D8"/>
              </w:tc>
              <w:tc>
                <w:tcPr>
                  <w:tcW w:w="374" w:type="dxa"/>
                  <w:shd w:val="clear" w:color="auto" w:fill="F4EFE4"/>
                </w:tcPr>
                <w:p w14:paraId="70A30439"/>
              </w:tc>
              <w:tc>
                <w:tcPr>
                  <w:tcW w:w="374" w:type="dxa"/>
                  <w:shd w:val="clear" w:color="auto" w:fill="F4EFE4"/>
                </w:tcPr>
                <w:p w14:paraId="78B49360"/>
              </w:tc>
              <w:tc>
                <w:tcPr>
                  <w:tcW w:w="374" w:type="dxa"/>
                  <w:shd w:val="clear" w:color="auto" w:fill="F4EFE4"/>
                </w:tcPr>
                <w:p w14:paraId="35E56A58"/>
              </w:tc>
              <w:tc>
                <w:tcPr>
                  <w:tcW w:w="374" w:type="dxa"/>
                  <w:shd w:val="clear" w:color="auto" w:fill="F4EFE4"/>
                </w:tcPr>
                <w:p w14:paraId="18E1A64B"/>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CE57723">
                  <w:pPr>
                    <w:pStyle w:val="197"/>
                  </w:pPr>
                  <w:r>
                    <w:t>6</w:t>
                  </w:r>
                </w:p>
              </w:tc>
              <w:tc>
                <w:tcPr>
                  <w:tcW w:w="374" w:type="dxa"/>
                  <w:shd w:val="clear" w:color="auto" w:fill="F4EFE4"/>
                </w:tcPr>
                <w:p w14:paraId="02D08237"/>
              </w:tc>
              <w:tc>
                <w:tcPr>
                  <w:tcW w:w="374" w:type="dxa"/>
                  <w:shd w:val="clear" w:color="auto" w:fill="F4EFE4"/>
                </w:tcPr>
                <w:p w14:paraId="0F5C496B"/>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E99CE49"/>
              </w:tc>
              <w:tc>
                <w:tcPr>
                  <w:tcW w:w="374" w:type="dxa"/>
                  <w:shd w:val="clear" w:color="auto" w:fill="F4EFE4"/>
                </w:tcPr>
                <w:p w14:paraId="77993B25"/>
              </w:tc>
            </w:tr>
            <w:tr w14:paraId="433BE761">
              <w:tblPrEx>
                <w:tblCellMar>
                  <w:top w:w="0" w:type="dxa"/>
                  <w:left w:w="17" w:type="dxa"/>
                  <w:bottom w:w="0" w:type="dxa"/>
                  <w:right w:w="11" w:type="dxa"/>
                </w:tblCellMar>
              </w:tblPrEx>
              <w:trPr>
                <w:trHeight w:val="374" w:hRule="exact"/>
              </w:trPr>
              <w:tc>
                <w:tcPr>
                  <w:tcW w:w="374" w:type="dxa"/>
                  <w:shd w:val="clear" w:color="auto" w:fill="F4EFE4"/>
                </w:tcPr>
                <w:p w14:paraId="72100EED"/>
              </w:tc>
              <w:tc>
                <w:tcPr>
                  <w:tcW w:w="374" w:type="dxa"/>
                  <w:shd w:val="clear" w:color="auto" w:fill="F4EFE4"/>
                </w:tcPr>
                <w:p w14:paraId="190A058E"/>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F9223B4"/>
              </w:tc>
              <w:tc>
                <w:tcPr>
                  <w:tcW w:w="374" w:type="dxa"/>
                  <w:shd w:val="clear" w:color="auto" w:fill="F4EFE4"/>
                </w:tcPr>
                <w:p w14:paraId="0EFD6A29"/>
              </w:tc>
              <w:tc>
                <w:tcPr>
                  <w:tcW w:w="374" w:type="dxa"/>
                  <w:shd w:val="clear" w:color="auto" w:fill="F4EFE4"/>
                </w:tcPr>
                <w:p w14:paraId="4F3EBAA8"/>
              </w:tc>
              <w:tc>
                <w:tcPr>
                  <w:tcW w:w="374" w:type="dxa"/>
                  <w:shd w:val="clear" w:color="auto" w:fill="F4EFE4"/>
                </w:tcPr>
                <w:p w14:paraId="093B9268"/>
              </w:tc>
              <w:tc>
                <w:tcPr>
                  <w:tcW w:w="374" w:type="dxa"/>
                  <w:shd w:val="clear" w:color="auto" w:fill="F4EFE4"/>
                </w:tcPr>
                <w:p w14:paraId="721F5748"/>
              </w:tc>
              <w:tc>
                <w:tcPr>
                  <w:tcW w:w="374" w:type="dxa"/>
                  <w:shd w:val="clear" w:color="auto" w:fill="F4EFE4"/>
                </w:tcPr>
                <w:p w14:paraId="177BA626"/>
              </w:tc>
              <w:tc>
                <w:tcPr>
                  <w:tcW w:w="374" w:type="dxa"/>
                  <w:shd w:val="clear" w:color="auto" w:fill="F4EFE4"/>
                </w:tcPr>
                <w:p w14:paraId="55092C7A"/>
              </w:tc>
              <w:tc>
                <w:tcPr>
                  <w:tcW w:w="374" w:type="dxa"/>
                  <w:shd w:val="clear" w:color="auto" w:fill="F4EFE4"/>
                </w:tcPr>
                <w:p w14:paraId="549C91D9"/>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B791DF4">
                  <w:pPr>
                    <w:pStyle w:val="197"/>
                  </w:pPr>
                  <w:r>
                    <w:t>7</w:t>
                  </w:r>
                </w:p>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2DECFD7"/>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13985E1"/>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BD1A151"/>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61F54EE"/>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3A8D495D"/>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05F21FB2"/>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BD3B64E"/>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A085117"/>
              </w:tc>
            </w:tr>
            <w:tr w14:paraId="576D2C31">
              <w:tblPrEx>
                <w:tblCellMar>
                  <w:top w:w="0" w:type="dxa"/>
                  <w:left w:w="17" w:type="dxa"/>
                  <w:bottom w:w="0" w:type="dxa"/>
                  <w:right w:w="11" w:type="dxa"/>
                </w:tblCellMar>
              </w:tblPrEx>
              <w:trPr>
                <w:trHeight w:val="374" w:hRule="exact"/>
              </w:trPr>
              <w:tc>
                <w:tcPr>
                  <w:tcW w:w="374" w:type="dxa"/>
                  <w:shd w:val="clear" w:color="auto" w:fill="F4EFE4"/>
                </w:tcPr>
                <w:p w14:paraId="6F8B312C"/>
              </w:tc>
              <w:tc>
                <w:tcPr>
                  <w:tcW w:w="374" w:type="dxa"/>
                  <w:shd w:val="clear" w:color="auto" w:fill="F4EFE4"/>
                </w:tcPr>
                <w:p w14:paraId="07E6DA65"/>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270F698"/>
              </w:tc>
              <w:tc>
                <w:tcPr>
                  <w:tcW w:w="374" w:type="dxa"/>
                  <w:shd w:val="clear" w:color="auto" w:fill="F4EFE4"/>
                </w:tcPr>
                <w:p w14:paraId="340BB2EE"/>
              </w:tc>
              <w:tc>
                <w:tcPr>
                  <w:tcW w:w="374" w:type="dxa"/>
                  <w:shd w:val="clear" w:color="auto" w:fill="F4EFE4"/>
                </w:tcPr>
                <w:p w14:paraId="0E0DEB50"/>
              </w:tc>
              <w:tc>
                <w:tcPr>
                  <w:tcW w:w="374" w:type="dxa"/>
                  <w:shd w:val="clear" w:color="auto" w:fill="F4EFE4"/>
                </w:tcPr>
                <w:p w14:paraId="733AA6AB"/>
              </w:tc>
              <w:tc>
                <w:tcPr>
                  <w:tcW w:w="374" w:type="dxa"/>
                  <w:shd w:val="clear" w:color="auto" w:fill="F4EFE4"/>
                </w:tcPr>
                <w:p w14:paraId="43D06B7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EA97FD1">
                  <w:pPr>
                    <w:pStyle w:val="197"/>
                  </w:pPr>
                  <w:r>
                    <w:t>8</w:t>
                  </w:r>
                </w:p>
              </w:tc>
              <w:tc>
                <w:tcPr>
                  <w:tcW w:w="374" w:type="dxa"/>
                  <w:shd w:val="clear" w:color="auto" w:fill="F4EFE4"/>
                </w:tcPr>
                <w:p w14:paraId="3E59FAF8"/>
              </w:tc>
              <w:tc>
                <w:tcPr>
                  <w:tcW w:w="374" w:type="dxa"/>
                  <w:shd w:val="clear" w:color="auto" w:fill="F4EFE4"/>
                </w:tcPr>
                <w:p w14:paraId="6D8882EC"/>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397E27B6"/>
              </w:tc>
              <w:tc>
                <w:tcPr>
                  <w:tcW w:w="374" w:type="dxa"/>
                  <w:shd w:val="clear" w:color="auto" w:fill="F4EFE4"/>
                </w:tcPr>
                <w:p w14:paraId="625830FA"/>
              </w:tc>
              <w:tc>
                <w:tcPr>
                  <w:tcW w:w="374" w:type="dxa"/>
                  <w:shd w:val="clear" w:color="auto" w:fill="F4EFE4"/>
                </w:tcPr>
                <w:p w14:paraId="5B98C495"/>
              </w:tc>
              <w:tc>
                <w:tcPr>
                  <w:tcW w:w="374" w:type="dxa"/>
                  <w:shd w:val="clear" w:color="auto" w:fill="F4EFE4"/>
                </w:tcPr>
                <w:p w14:paraId="0440CA29"/>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39C7C58"/>
              </w:tc>
              <w:tc>
                <w:tcPr>
                  <w:tcW w:w="374" w:type="dxa"/>
                  <w:shd w:val="clear" w:color="auto" w:fill="F4EFE4"/>
                </w:tcPr>
                <w:p w14:paraId="67841BE3"/>
              </w:tc>
              <w:tc>
                <w:tcPr>
                  <w:tcW w:w="374" w:type="dxa"/>
                  <w:shd w:val="clear" w:color="auto" w:fill="F4EFE4"/>
                </w:tcPr>
                <w:p w14:paraId="4A8DDD67"/>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46A8E6A"/>
              </w:tc>
              <w:tc>
                <w:tcPr>
                  <w:tcW w:w="374" w:type="dxa"/>
                  <w:shd w:val="clear" w:color="auto" w:fill="F4EFE4"/>
                </w:tcPr>
                <w:p w14:paraId="1BEF5A46"/>
              </w:tc>
            </w:tr>
            <w:tr w14:paraId="6F897147">
              <w:tblPrEx>
                <w:tblCellMar>
                  <w:top w:w="0" w:type="dxa"/>
                  <w:left w:w="17" w:type="dxa"/>
                  <w:bottom w:w="0" w:type="dxa"/>
                  <w:right w:w="11" w:type="dxa"/>
                </w:tblCellMar>
              </w:tblPrEx>
              <w:trPr>
                <w:trHeight w:val="374" w:hRule="exact"/>
              </w:trPr>
              <w:tc>
                <w:tcPr>
                  <w:tcW w:w="374" w:type="dxa"/>
                  <w:shd w:val="clear" w:color="auto" w:fill="F4EFE4"/>
                </w:tcPr>
                <w:p w14:paraId="20EFC4C7"/>
              </w:tc>
              <w:tc>
                <w:tcPr>
                  <w:tcW w:w="374" w:type="dxa"/>
                  <w:shd w:val="clear" w:color="auto" w:fill="F4EFE4"/>
                </w:tcPr>
                <w:p w14:paraId="4803166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BD646CF"/>
              </w:tc>
              <w:tc>
                <w:tcPr>
                  <w:tcW w:w="374" w:type="dxa"/>
                  <w:shd w:val="clear" w:color="auto" w:fill="F4EFE4"/>
                </w:tcPr>
                <w:p w14:paraId="71D3FF57"/>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FDD4DF6">
                  <w:pPr>
                    <w:pStyle w:val="197"/>
                  </w:pPr>
                  <w:r>
                    <w:t>9</w:t>
                  </w:r>
                </w:p>
              </w:tc>
              <w:tc>
                <w:tcPr>
                  <w:tcW w:w="374" w:type="dxa"/>
                  <w:shd w:val="clear" w:color="auto" w:fill="F4EFE4"/>
                </w:tcPr>
                <w:p w14:paraId="533D851E"/>
              </w:tc>
              <w:tc>
                <w:tcPr>
                  <w:tcW w:w="374" w:type="dxa"/>
                  <w:shd w:val="clear" w:color="auto" w:fill="F4EFE4"/>
                </w:tcPr>
                <w:p w14:paraId="5215CD64"/>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18EB3BE"/>
              </w:tc>
              <w:tc>
                <w:tcPr>
                  <w:tcW w:w="374" w:type="dxa"/>
                  <w:shd w:val="clear" w:color="auto" w:fill="F4EFE4"/>
                </w:tcPr>
                <w:p w14:paraId="0E33EBF8"/>
              </w:tc>
              <w:tc>
                <w:tcPr>
                  <w:tcW w:w="374" w:type="dxa"/>
                  <w:shd w:val="clear" w:color="auto" w:fill="F4EFE4"/>
                </w:tcPr>
                <w:p w14:paraId="72312C3E"/>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DCB25C9"/>
              </w:tc>
              <w:tc>
                <w:tcPr>
                  <w:tcW w:w="374" w:type="dxa"/>
                  <w:shd w:val="clear" w:color="auto" w:fill="F4EFE4"/>
                </w:tcPr>
                <w:p w14:paraId="008F872F"/>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8C3C014">
                  <w:pPr>
                    <w:pStyle w:val="197"/>
                  </w:pPr>
                  <w:r>
                    <w:t>10</w:t>
                  </w:r>
                </w:p>
              </w:tc>
              <w:tc>
                <w:tcPr>
                  <w:tcW w:w="374" w:type="dxa"/>
                  <w:shd w:val="clear" w:color="auto" w:fill="F4EFE4"/>
                </w:tcPr>
                <w:p w14:paraId="48892B90"/>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F82AF7D"/>
              </w:tc>
              <w:tc>
                <w:tcPr>
                  <w:tcW w:w="374" w:type="dxa"/>
                  <w:shd w:val="clear" w:color="auto" w:fill="F4EFE4"/>
                </w:tcPr>
                <w:p w14:paraId="6688A4E4"/>
              </w:tc>
              <w:tc>
                <w:tcPr>
                  <w:tcW w:w="374" w:type="dxa"/>
                  <w:shd w:val="clear" w:color="auto" w:fill="F4EFE4"/>
                </w:tcPr>
                <w:p w14:paraId="1D02B175"/>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BD37B67"/>
              </w:tc>
              <w:tc>
                <w:tcPr>
                  <w:tcW w:w="374" w:type="dxa"/>
                  <w:shd w:val="clear" w:color="auto" w:fill="F4EFE4"/>
                </w:tcPr>
                <w:p w14:paraId="7522930F"/>
              </w:tc>
            </w:tr>
            <w:tr w14:paraId="0B433F20">
              <w:tblPrEx>
                <w:tblCellMar>
                  <w:top w:w="0" w:type="dxa"/>
                  <w:left w:w="17" w:type="dxa"/>
                  <w:bottom w:w="0" w:type="dxa"/>
                  <w:right w:w="11" w:type="dxa"/>
                </w:tblCellMar>
              </w:tblPrEx>
              <w:trPr>
                <w:trHeight w:val="374" w:hRule="exact"/>
              </w:trPr>
              <w:tc>
                <w:tcPr>
                  <w:tcW w:w="374" w:type="dxa"/>
                  <w:shd w:val="clear" w:color="auto" w:fill="F4EFE4"/>
                </w:tcPr>
                <w:p w14:paraId="79E66EE9"/>
              </w:tc>
              <w:tc>
                <w:tcPr>
                  <w:tcW w:w="374" w:type="dxa"/>
                  <w:shd w:val="clear" w:color="auto" w:fill="F4EFE4"/>
                </w:tcPr>
                <w:p w14:paraId="2B7B72EA"/>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6B03647"/>
              </w:tc>
              <w:tc>
                <w:tcPr>
                  <w:tcW w:w="374" w:type="dxa"/>
                  <w:shd w:val="clear" w:color="auto" w:fill="F4EFE4"/>
                </w:tcPr>
                <w:p w14:paraId="54B9F3B9"/>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48BFB8D"/>
              </w:tc>
              <w:tc>
                <w:tcPr>
                  <w:tcW w:w="374" w:type="dxa"/>
                  <w:shd w:val="clear" w:color="auto" w:fill="F4EFE4"/>
                </w:tcPr>
                <w:p w14:paraId="53C32476"/>
              </w:tc>
              <w:tc>
                <w:tcPr>
                  <w:tcW w:w="374" w:type="dxa"/>
                  <w:shd w:val="clear" w:color="auto" w:fill="F4EFE4"/>
                </w:tcPr>
                <w:p w14:paraId="5B5AE10C"/>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3C5835EF"/>
              </w:tc>
              <w:tc>
                <w:tcPr>
                  <w:tcW w:w="374" w:type="dxa"/>
                  <w:shd w:val="clear" w:color="auto" w:fill="F4EFE4"/>
                </w:tcPr>
                <w:p w14:paraId="6973ECC6"/>
              </w:tc>
              <w:tc>
                <w:tcPr>
                  <w:tcW w:w="374" w:type="dxa"/>
                  <w:shd w:val="clear" w:color="auto" w:fill="F4EFE4"/>
                </w:tcPr>
                <w:p w14:paraId="073AA314"/>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0123B80"/>
              </w:tc>
              <w:tc>
                <w:tcPr>
                  <w:tcW w:w="374" w:type="dxa"/>
                  <w:shd w:val="clear" w:color="auto" w:fill="F4EFE4"/>
                </w:tcPr>
                <w:p w14:paraId="113DD7CE"/>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FCA7F1B"/>
              </w:tc>
              <w:tc>
                <w:tcPr>
                  <w:tcW w:w="374" w:type="dxa"/>
                  <w:shd w:val="clear" w:color="auto" w:fill="F4EFE4"/>
                </w:tcPr>
                <w:p w14:paraId="34A41217"/>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91F90B0"/>
              </w:tc>
              <w:tc>
                <w:tcPr>
                  <w:tcW w:w="374" w:type="dxa"/>
                  <w:shd w:val="clear" w:color="auto" w:fill="F4EFE4"/>
                </w:tcPr>
                <w:p w14:paraId="7CEA2CE5"/>
              </w:tc>
              <w:tc>
                <w:tcPr>
                  <w:tcW w:w="374" w:type="dxa"/>
                  <w:shd w:val="clear" w:color="auto" w:fill="F4EFE4"/>
                </w:tcPr>
                <w:p w14:paraId="7EA61566"/>
              </w:tc>
              <w:tc>
                <w:tcPr>
                  <w:tcW w:w="374" w:type="dxa"/>
                  <w:shd w:val="clear" w:color="auto" w:fill="F4EFE4"/>
                </w:tcPr>
                <w:p w14:paraId="39BB547A"/>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CE293DF">
                  <w:pPr>
                    <w:pStyle w:val="197"/>
                  </w:pPr>
                  <w:r>
                    <w:t>11</w:t>
                  </w:r>
                </w:p>
              </w:tc>
            </w:tr>
            <w:tr w14:paraId="6A3BF5CA">
              <w:tblPrEx>
                <w:tblCellMar>
                  <w:top w:w="0" w:type="dxa"/>
                  <w:left w:w="17" w:type="dxa"/>
                  <w:bottom w:w="0" w:type="dxa"/>
                  <w:right w:w="11" w:type="dxa"/>
                </w:tblCellMar>
              </w:tblPrEx>
              <w:trPr>
                <w:trHeight w:val="374" w:hRule="exact"/>
              </w:trPr>
              <w:tc>
                <w:tcPr>
                  <w:tcW w:w="374" w:type="dxa"/>
                  <w:shd w:val="clear" w:color="auto" w:fill="F4EFE4"/>
                </w:tcPr>
                <w:p w14:paraId="66164F0D"/>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27A2472">
                  <w:pPr>
                    <w:pStyle w:val="197"/>
                  </w:pPr>
                  <w:r>
                    <w:t>12</w:t>
                  </w:r>
                </w:p>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318BA4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AF3823E"/>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ACA4A6A"/>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F837830"/>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4D6F76F"/>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D95561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3D9BC9F"/>
              </w:tc>
              <w:tc>
                <w:tcPr>
                  <w:tcW w:w="374" w:type="dxa"/>
                  <w:shd w:val="clear" w:color="auto" w:fill="F4EFE4"/>
                </w:tcPr>
                <w:p w14:paraId="16DA0B3C"/>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0EA85B2"/>
              </w:tc>
              <w:tc>
                <w:tcPr>
                  <w:tcW w:w="374" w:type="dxa"/>
                  <w:shd w:val="clear" w:color="auto" w:fill="F4EFE4"/>
                </w:tcPr>
                <w:p w14:paraId="1D51B2D5"/>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3D93983D"/>
              </w:tc>
              <w:tc>
                <w:tcPr>
                  <w:tcW w:w="374" w:type="dxa"/>
                  <w:shd w:val="clear" w:color="auto" w:fill="F4EFE4"/>
                </w:tcPr>
                <w:p w14:paraId="6D8CFEAB"/>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00EF3EF"/>
              </w:tc>
              <w:tc>
                <w:tcPr>
                  <w:tcW w:w="374" w:type="dxa"/>
                  <w:shd w:val="clear" w:color="auto" w:fill="F4EFE4"/>
                </w:tcPr>
                <w:p w14:paraId="0DFCD99B"/>
              </w:tc>
              <w:tc>
                <w:tcPr>
                  <w:tcW w:w="374" w:type="dxa"/>
                  <w:shd w:val="clear" w:color="auto" w:fill="F4EFE4"/>
                </w:tcPr>
                <w:p w14:paraId="0F652C3A"/>
              </w:tc>
              <w:tc>
                <w:tcPr>
                  <w:tcW w:w="374" w:type="dxa"/>
                  <w:shd w:val="clear" w:color="auto" w:fill="F4EFE4"/>
                </w:tcPr>
                <w:p w14:paraId="32BD87A7"/>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656C656"/>
              </w:tc>
            </w:tr>
            <w:tr w14:paraId="51EAA6C7">
              <w:tblPrEx>
                <w:tblCellMar>
                  <w:top w:w="0" w:type="dxa"/>
                  <w:left w:w="17" w:type="dxa"/>
                  <w:bottom w:w="0" w:type="dxa"/>
                  <w:right w:w="11" w:type="dxa"/>
                </w:tblCellMar>
              </w:tblPrEx>
              <w:trPr>
                <w:trHeight w:val="374" w:hRule="exact"/>
              </w:trPr>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5D966EB">
                  <w:pPr>
                    <w:pStyle w:val="197"/>
                  </w:pPr>
                  <w:r>
                    <w:t>13</w:t>
                  </w:r>
                </w:p>
              </w:tc>
              <w:tc>
                <w:tcPr>
                  <w:tcW w:w="374" w:type="dxa"/>
                  <w:shd w:val="clear" w:color="auto" w:fill="F4EFE4"/>
                </w:tcPr>
                <w:p w14:paraId="51ED1E10"/>
              </w:tc>
              <w:tc>
                <w:tcPr>
                  <w:tcW w:w="374" w:type="dxa"/>
                  <w:shd w:val="clear" w:color="auto" w:fill="F4EFE4"/>
                </w:tcPr>
                <w:p w14:paraId="39467348"/>
              </w:tc>
              <w:tc>
                <w:tcPr>
                  <w:tcW w:w="374" w:type="dxa"/>
                  <w:shd w:val="clear" w:color="auto" w:fill="F4EFE4"/>
                </w:tcPr>
                <w:p w14:paraId="1DF2E80D"/>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437E38F"/>
              </w:tc>
              <w:tc>
                <w:tcPr>
                  <w:tcW w:w="374" w:type="dxa"/>
                  <w:shd w:val="clear" w:color="auto" w:fill="F4EFE4"/>
                </w:tcPr>
                <w:p w14:paraId="61BAB3DF"/>
              </w:tc>
              <w:tc>
                <w:tcPr>
                  <w:tcW w:w="374" w:type="dxa"/>
                  <w:shd w:val="clear" w:color="auto" w:fill="F4EFE4"/>
                </w:tcPr>
                <w:p w14:paraId="6B0CDEFF"/>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C05B428"/>
              </w:tc>
              <w:tc>
                <w:tcPr>
                  <w:tcW w:w="374" w:type="dxa"/>
                  <w:shd w:val="clear" w:color="auto" w:fill="F4EFE4"/>
                </w:tcPr>
                <w:p w14:paraId="5778719B"/>
              </w:tc>
              <w:tc>
                <w:tcPr>
                  <w:tcW w:w="374" w:type="dxa"/>
                  <w:shd w:val="clear" w:color="auto" w:fill="F4EFE4"/>
                </w:tcPr>
                <w:p w14:paraId="0373120B"/>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37A60E01"/>
              </w:tc>
              <w:tc>
                <w:tcPr>
                  <w:tcW w:w="374" w:type="dxa"/>
                  <w:shd w:val="clear" w:color="auto" w:fill="F4EFE4"/>
                </w:tcPr>
                <w:p w14:paraId="3FB87AFA"/>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02DFA7F"/>
              </w:tc>
              <w:tc>
                <w:tcPr>
                  <w:tcW w:w="374" w:type="dxa"/>
                  <w:shd w:val="clear" w:color="auto" w:fill="F4EFE4"/>
                </w:tcPr>
                <w:p w14:paraId="1C4A29F8"/>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08B0BB22"/>
              </w:tc>
              <w:tc>
                <w:tcPr>
                  <w:tcW w:w="374" w:type="dxa"/>
                  <w:shd w:val="clear" w:color="auto" w:fill="F4EFE4"/>
                </w:tcPr>
                <w:p w14:paraId="455239E1"/>
              </w:tc>
              <w:tc>
                <w:tcPr>
                  <w:tcW w:w="374" w:type="dxa"/>
                  <w:shd w:val="clear" w:color="auto" w:fill="F4EFE4"/>
                </w:tcPr>
                <w:p w14:paraId="10E607E5"/>
              </w:tc>
              <w:tc>
                <w:tcPr>
                  <w:tcW w:w="374" w:type="dxa"/>
                  <w:shd w:val="clear" w:color="auto" w:fill="F4EFE4"/>
                </w:tcPr>
                <w:p w14:paraId="1D3EC74E"/>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ACC46BD"/>
              </w:tc>
            </w:tr>
            <w:tr w14:paraId="49ED8667">
              <w:tblPrEx>
                <w:tblCellMar>
                  <w:top w:w="0" w:type="dxa"/>
                  <w:left w:w="17" w:type="dxa"/>
                  <w:bottom w:w="0" w:type="dxa"/>
                  <w:right w:w="11" w:type="dxa"/>
                </w:tblCellMar>
              </w:tblPrEx>
              <w:trPr>
                <w:trHeight w:val="374" w:hRule="exact"/>
              </w:trPr>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F201D89"/>
              </w:tc>
              <w:tc>
                <w:tcPr>
                  <w:tcW w:w="374" w:type="dxa"/>
                  <w:shd w:val="clear" w:color="auto" w:fill="F4EFE4"/>
                </w:tcPr>
                <w:p w14:paraId="3E0AC862"/>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287DACA">
                  <w:pPr>
                    <w:pStyle w:val="197"/>
                  </w:pPr>
                  <w:r>
                    <w:t>14</w:t>
                  </w:r>
                </w:p>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0D046F7"/>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41EF555"/>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D94B527"/>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354A26C"/>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D954024"/>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3050250A"/>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8260732"/>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FA38A6F"/>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F7898C3"/>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7AE3D3B"/>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27D0BA9"/>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BDC487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EB72CD1"/>
              </w:tc>
              <w:tc>
                <w:tcPr>
                  <w:tcW w:w="374" w:type="dxa"/>
                  <w:shd w:val="clear" w:color="auto" w:fill="F4EFE4"/>
                </w:tcPr>
                <w:p w14:paraId="4C384EDB"/>
              </w:tc>
              <w:tc>
                <w:tcPr>
                  <w:tcW w:w="374" w:type="dxa"/>
                  <w:shd w:val="clear" w:color="auto" w:fill="F4EFE4"/>
                </w:tcPr>
                <w:p w14:paraId="08344B6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0760CE0"/>
              </w:tc>
            </w:tr>
            <w:tr w14:paraId="36B18436">
              <w:tblPrEx>
                <w:tblCellMar>
                  <w:top w:w="0" w:type="dxa"/>
                  <w:left w:w="17" w:type="dxa"/>
                  <w:bottom w:w="0" w:type="dxa"/>
                  <w:right w:w="11" w:type="dxa"/>
                </w:tblCellMar>
              </w:tblPrEx>
              <w:trPr>
                <w:trHeight w:val="374" w:hRule="exact"/>
              </w:trPr>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3E112F85"/>
              </w:tc>
              <w:tc>
                <w:tcPr>
                  <w:tcW w:w="374" w:type="dxa"/>
                  <w:shd w:val="clear" w:color="auto" w:fill="F4EFE4"/>
                </w:tcPr>
                <w:p w14:paraId="4A8E0724"/>
              </w:tc>
              <w:tc>
                <w:tcPr>
                  <w:tcW w:w="374" w:type="dxa"/>
                  <w:shd w:val="clear" w:color="auto" w:fill="F4EFE4"/>
                </w:tcPr>
                <w:p w14:paraId="7877E506"/>
              </w:tc>
              <w:tc>
                <w:tcPr>
                  <w:tcW w:w="374" w:type="dxa"/>
                  <w:shd w:val="clear" w:color="auto" w:fill="F4EFE4"/>
                </w:tcPr>
                <w:p w14:paraId="011AC3D5"/>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0199C10"/>
              </w:tc>
              <w:tc>
                <w:tcPr>
                  <w:tcW w:w="374" w:type="dxa"/>
                  <w:shd w:val="clear" w:color="auto" w:fill="F4EFE4"/>
                </w:tcPr>
                <w:p w14:paraId="101AFEAC"/>
              </w:tc>
              <w:tc>
                <w:tcPr>
                  <w:tcW w:w="374" w:type="dxa"/>
                  <w:shd w:val="clear" w:color="auto" w:fill="F4EFE4"/>
                </w:tcPr>
                <w:p w14:paraId="0F8D74DC"/>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9494346"/>
              </w:tc>
              <w:tc>
                <w:tcPr>
                  <w:tcW w:w="374" w:type="dxa"/>
                  <w:shd w:val="clear" w:color="auto" w:fill="F4EFE4"/>
                </w:tcPr>
                <w:p w14:paraId="3AE8E9D5"/>
              </w:tc>
              <w:tc>
                <w:tcPr>
                  <w:tcW w:w="374" w:type="dxa"/>
                  <w:shd w:val="clear" w:color="auto" w:fill="F4EFE4"/>
                </w:tcPr>
                <w:p w14:paraId="69284F8B"/>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0B8E8B3F"/>
              </w:tc>
              <w:tc>
                <w:tcPr>
                  <w:tcW w:w="374" w:type="dxa"/>
                  <w:shd w:val="clear" w:color="auto" w:fill="F4EFE4"/>
                </w:tcPr>
                <w:p w14:paraId="514CF649"/>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0CB9D5F5"/>
              </w:tc>
              <w:tc>
                <w:tcPr>
                  <w:tcW w:w="374" w:type="dxa"/>
                  <w:shd w:val="clear" w:color="auto" w:fill="F4EFE4"/>
                </w:tcPr>
                <w:p w14:paraId="10CB2EC2"/>
              </w:tc>
              <w:tc>
                <w:tcPr>
                  <w:tcW w:w="374" w:type="dxa"/>
                  <w:shd w:val="clear" w:color="auto" w:fill="F4EFE4"/>
                </w:tcPr>
                <w:p w14:paraId="25052956"/>
              </w:tc>
              <w:tc>
                <w:tcPr>
                  <w:tcW w:w="374" w:type="dxa"/>
                  <w:shd w:val="clear" w:color="auto" w:fill="F4EFE4"/>
                </w:tcPr>
                <w:p w14:paraId="1928FE4B"/>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52870E1">
                  <w:pPr>
                    <w:pStyle w:val="197"/>
                  </w:pPr>
                  <w:r>
                    <w:t>15</w:t>
                  </w:r>
                </w:p>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3C3C02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49FCBAF"/>
              </w:tc>
            </w:tr>
            <w:tr w14:paraId="77D7916C">
              <w:tblPrEx>
                <w:tblCellMar>
                  <w:top w:w="0" w:type="dxa"/>
                  <w:left w:w="17" w:type="dxa"/>
                  <w:bottom w:w="0" w:type="dxa"/>
                  <w:right w:w="11" w:type="dxa"/>
                </w:tblCellMar>
              </w:tblPrEx>
              <w:trPr>
                <w:trHeight w:val="374" w:hRule="exact"/>
              </w:trPr>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8444F59"/>
              </w:tc>
              <w:tc>
                <w:tcPr>
                  <w:tcW w:w="374" w:type="dxa"/>
                  <w:shd w:val="clear" w:color="auto" w:fill="F4EFE4"/>
                </w:tcPr>
                <w:p w14:paraId="3ACA6953"/>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4416206">
                  <w:pPr>
                    <w:pStyle w:val="197"/>
                  </w:pPr>
                  <w:r>
                    <w:t>16</w:t>
                  </w:r>
                </w:p>
              </w:tc>
              <w:tc>
                <w:tcPr>
                  <w:tcW w:w="374" w:type="dxa"/>
                  <w:shd w:val="clear" w:color="auto" w:fill="F4EFE4"/>
                </w:tcPr>
                <w:p w14:paraId="4661822D"/>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DE1D423"/>
              </w:tc>
              <w:tc>
                <w:tcPr>
                  <w:tcW w:w="374" w:type="dxa"/>
                  <w:shd w:val="clear" w:color="auto" w:fill="F4EFE4"/>
                </w:tcPr>
                <w:p w14:paraId="44D17E90"/>
              </w:tc>
              <w:tc>
                <w:tcPr>
                  <w:tcW w:w="374" w:type="dxa"/>
                  <w:shd w:val="clear" w:color="auto" w:fill="F4EFE4"/>
                </w:tcPr>
                <w:p w14:paraId="33E8D8E4"/>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29639DE"/>
              </w:tc>
              <w:tc>
                <w:tcPr>
                  <w:tcW w:w="374" w:type="dxa"/>
                  <w:shd w:val="clear" w:color="auto" w:fill="F4EFE4"/>
                </w:tcPr>
                <w:p w14:paraId="29EB18BD"/>
              </w:tc>
              <w:tc>
                <w:tcPr>
                  <w:tcW w:w="374" w:type="dxa"/>
                  <w:shd w:val="clear" w:color="auto" w:fill="F4EFE4"/>
                </w:tcPr>
                <w:p w14:paraId="55297322"/>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3E85CAD1"/>
              </w:tc>
              <w:tc>
                <w:tcPr>
                  <w:tcW w:w="374" w:type="dxa"/>
                  <w:shd w:val="clear" w:color="auto" w:fill="F4EFE4"/>
                </w:tcPr>
                <w:p w14:paraId="51ED9EB9"/>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6EC7350"/>
              </w:tc>
              <w:tc>
                <w:tcPr>
                  <w:tcW w:w="374" w:type="dxa"/>
                  <w:shd w:val="clear" w:color="auto" w:fill="F4EFE4"/>
                </w:tcPr>
                <w:p w14:paraId="4B5F1F49"/>
              </w:tc>
              <w:tc>
                <w:tcPr>
                  <w:tcW w:w="374" w:type="dxa"/>
                  <w:shd w:val="clear" w:color="auto" w:fill="F4EFE4"/>
                </w:tcPr>
                <w:p w14:paraId="1B7E5E1D"/>
              </w:tc>
              <w:tc>
                <w:tcPr>
                  <w:tcW w:w="374" w:type="dxa"/>
                  <w:shd w:val="clear" w:color="auto" w:fill="F4EFE4"/>
                </w:tcPr>
                <w:p w14:paraId="06B0854B"/>
              </w:tc>
              <w:tc>
                <w:tcPr>
                  <w:tcW w:w="374" w:type="dxa"/>
                  <w:shd w:val="clear" w:color="auto" w:fill="F4EFE4"/>
                </w:tcPr>
                <w:p w14:paraId="60EED555"/>
              </w:tc>
              <w:tc>
                <w:tcPr>
                  <w:tcW w:w="374" w:type="dxa"/>
                  <w:shd w:val="clear" w:color="auto" w:fill="F4EFE4"/>
                </w:tcPr>
                <w:p w14:paraId="5838EEC8"/>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ECA31E0"/>
              </w:tc>
            </w:tr>
            <w:tr w14:paraId="268A867B">
              <w:tblPrEx>
                <w:tblCellMar>
                  <w:top w:w="0" w:type="dxa"/>
                  <w:left w:w="17" w:type="dxa"/>
                  <w:bottom w:w="0" w:type="dxa"/>
                  <w:right w:w="11" w:type="dxa"/>
                </w:tblCellMar>
              </w:tblPrEx>
              <w:trPr>
                <w:trHeight w:val="374" w:hRule="exact"/>
              </w:trPr>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67A00AF"/>
              </w:tc>
              <w:tc>
                <w:tcPr>
                  <w:tcW w:w="374" w:type="dxa"/>
                  <w:shd w:val="clear" w:color="auto" w:fill="F4EFE4"/>
                </w:tcPr>
                <w:p w14:paraId="60D0CB63"/>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C8FFD00"/>
              </w:tc>
              <w:tc>
                <w:tcPr>
                  <w:tcW w:w="374" w:type="dxa"/>
                  <w:shd w:val="clear" w:color="auto" w:fill="F4EFE4"/>
                </w:tcPr>
                <w:p w14:paraId="65D79967"/>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B7B74D3"/>
              </w:tc>
              <w:tc>
                <w:tcPr>
                  <w:tcW w:w="374" w:type="dxa"/>
                  <w:shd w:val="clear" w:color="auto" w:fill="F4EFE4"/>
                </w:tcPr>
                <w:p w14:paraId="143B2457"/>
              </w:tc>
              <w:tc>
                <w:tcPr>
                  <w:tcW w:w="374" w:type="dxa"/>
                  <w:shd w:val="clear" w:color="auto" w:fill="F4EFE4"/>
                </w:tcPr>
                <w:p w14:paraId="3D63B308"/>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9DF6455"/>
              </w:tc>
              <w:tc>
                <w:tcPr>
                  <w:tcW w:w="374" w:type="dxa"/>
                  <w:shd w:val="clear" w:color="auto" w:fill="F4EFE4"/>
                </w:tcPr>
                <w:p w14:paraId="450ABBEF"/>
              </w:tc>
              <w:tc>
                <w:tcPr>
                  <w:tcW w:w="374" w:type="dxa"/>
                  <w:shd w:val="clear" w:color="auto" w:fill="F4EFE4"/>
                </w:tcPr>
                <w:p w14:paraId="381CF657"/>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4B7E572"/>
              </w:tc>
              <w:tc>
                <w:tcPr>
                  <w:tcW w:w="374" w:type="dxa"/>
                  <w:shd w:val="clear" w:color="auto" w:fill="F4EFE4"/>
                </w:tcPr>
                <w:p w14:paraId="38166AE7"/>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3B7EDA3">
                  <w:pPr>
                    <w:pStyle w:val="197"/>
                  </w:pPr>
                  <w:r>
                    <w:t>17</w:t>
                  </w:r>
                </w:p>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EF465C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0858C2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EF2FB7A"/>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0D1188DB"/>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9E449DF"/>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698124A"/>
              </w:tc>
            </w:tr>
            <w:tr w14:paraId="535817F3">
              <w:tblPrEx>
                <w:tblCellMar>
                  <w:top w:w="0" w:type="dxa"/>
                  <w:left w:w="17" w:type="dxa"/>
                  <w:bottom w:w="0" w:type="dxa"/>
                  <w:right w:w="11" w:type="dxa"/>
                </w:tblCellMar>
              </w:tblPrEx>
              <w:trPr>
                <w:trHeight w:val="374" w:hRule="exact"/>
              </w:trPr>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0FBFB207"/>
              </w:tc>
              <w:tc>
                <w:tcPr>
                  <w:tcW w:w="374" w:type="dxa"/>
                  <w:shd w:val="clear" w:color="auto" w:fill="F4EFE4"/>
                </w:tcPr>
                <w:p w14:paraId="0A97E9AC"/>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A3CB947"/>
              </w:tc>
              <w:tc>
                <w:tcPr>
                  <w:tcW w:w="374" w:type="dxa"/>
                  <w:shd w:val="clear" w:color="auto" w:fill="F4EFE4"/>
                </w:tcPr>
                <w:p w14:paraId="4115172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7DDE698"/>
              </w:tc>
              <w:tc>
                <w:tcPr>
                  <w:tcW w:w="374" w:type="dxa"/>
                  <w:shd w:val="clear" w:color="auto" w:fill="F4EFE4"/>
                </w:tcPr>
                <w:p w14:paraId="576EF763"/>
              </w:tc>
              <w:tc>
                <w:tcPr>
                  <w:tcW w:w="374" w:type="dxa"/>
                  <w:shd w:val="clear" w:color="auto" w:fill="F4EFE4"/>
                </w:tcPr>
                <w:p w14:paraId="32998BD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E1584A2"/>
              </w:tc>
              <w:tc>
                <w:tcPr>
                  <w:tcW w:w="374" w:type="dxa"/>
                  <w:shd w:val="clear" w:color="auto" w:fill="F4EFE4"/>
                </w:tcPr>
                <w:p w14:paraId="7AA41AA2"/>
              </w:tc>
              <w:tc>
                <w:tcPr>
                  <w:tcW w:w="374" w:type="dxa"/>
                  <w:shd w:val="clear" w:color="auto" w:fill="F4EFE4"/>
                </w:tcPr>
                <w:p w14:paraId="16E85DED"/>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33C929EB"/>
              </w:tc>
              <w:tc>
                <w:tcPr>
                  <w:tcW w:w="374" w:type="dxa"/>
                  <w:shd w:val="clear" w:color="auto" w:fill="F4EFE4"/>
                </w:tcPr>
                <w:p w14:paraId="3B537720"/>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97D36DC"/>
              </w:tc>
              <w:tc>
                <w:tcPr>
                  <w:tcW w:w="374" w:type="dxa"/>
                  <w:shd w:val="clear" w:color="auto" w:fill="F4EFE4"/>
                </w:tcPr>
                <w:p w14:paraId="0B477A17"/>
              </w:tc>
              <w:tc>
                <w:tcPr>
                  <w:tcW w:w="374" w:type="dxa"/>
                  <w:shd w:val="clear" w:color="auto" w:fill="F4EFE4"/>
                </w:tcPr>
                <w:p w14:paraId="6577B9E6"/>
              </w:tc>
              <w:tc>
                <w:tcPr>
                  <w:tcW w:w="374" w:type="dxa"/>
                  <w:shd w:val="clear" w:color="auto" w:fill="F4EFE4"/>
                </w:tcPr>
                <w:p w14:paraId="4E64E702"/>
              </w:tc>
              <w:tc>
                <w:tcPr>
                  <w:tcW w:w="374" w:type="dxa"/>
                  <w:shd w:val="clear" w:color="auto" w:fill="F4EFE4"/>
                </w:tcPr>
                <w:p w14:paraId="2293C8D2"/>
              </w:tc>
              <w:tc>
                <w:tcPr>
                  <w:tcW w:w="374" w:type="dxa"/>
                  <w:shd w:val="clear" w:color="auto" w:fill="F4EFE4"/>
                </w:tcPr>
                <w:p w14:paraId="7C09F9E9"/>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3B5CCF1"/>
              </w:tc>
            </w:tr>
            <w:tr w14:paraId="4AF367B3">
              <w:tblPrEx>
                <w:tblCellMar>
                  <w:top w:w="0" w:type="dxa"/>
                  <w:left w:w="17" w:type="dxa"/>
                  <w:bottom w:w="0" w:type="dxa"/>
                  <w:right w:w="11" w:type="dxa"/>
                </w:tblCellMar>
              </w:tblPrEx>
              <w:trPr>
                <w:trHeight w:val="374" w:hRule="exact"/>
              </w:trPr>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6145DD2"/>
              </w:tc>
              <w:tc>
                <w:tcPr>
                  <w:tcW w:w="374" w:type="dxa"/>
                  <w:shd w:val="clear" w:color="auto" w:fill="F4EFE4"/>
                </w:tcPr>
                <w:p w14:paraId="64852E7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3CFAB53"/>
              </w:tc>
              <w:tc>
                <w:tcPr>
                  <w:tcW w:w="374" w:type="dxa"/>
                  <w:shd w:val="clear" w:color="auto" w:fill="F4EFE4"/>
                </w:tcPr>
                <w:p w14:paraId="696196F4"/>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67FF7CD"/>
              </w:tc>
              <w:tc>
                <w:tcPr>
                  <w:tcW w:w="374" w:type="dxa"/>
                  <w:shd w:val="clear" w:color="auto" w:fill="F4EFE4"/>
                </w:tcPr>
                <w:p w14:paraId="4A1501D3"/>
              </w:tc>
              <w:tc>
                <w:tcPr>
                  <w:tcW w:w="374" w:type="dxa"/>
                  <w:shd w:val="clear" w:color="auto" w:fill="F4EFE4"/>
                </w:tcPr>
                <w:p w14:paraId="770809C4"/>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59FAA4F"/>
              </w:tc>
              <w:tc>
                <w:tcPr>
                  <w:tcW w:w="374" w:type="dxa"/>
                  <w:shd w:val="clear" w:color="auto" w:fill="F4EFE4"/>
                </w:tcPr>
                <w:p w14:paraId="69DEA1F9"/>
              </w:tc>
              <w:tc>
                <w:tcPr>
                  <w:tcW w:w="374" w:type="dxa"/>
                  <w:shd w:val="clear" w:color="auto" w:fill="F4EFE4"/>
                </w:tcPr>
                <w:p w14:paraId="71301E87"/>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31C270B9"/>
              </w:tc>
              <w:tc>
                <w:tcPr>
                  <w:tcW w:w="374" w:type="dxa"/>
                  <w:shd w:val="clear" w:color="auto" w:fill="F4EFE4"/>
                </w:tcPr>
                <w:p w14:paraId="04F8FE8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AC17414">
                  <w:pPr>
                    <w:pStyle w:val="197"/>
                  </w:pPr>
                  <w:r>
                    <w:t>18</w:t>
                  </w:r>
                </w:p>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A3E90FD"/>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9ECD10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E9C12F8"/>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EEF59DE">
                  <w:pPr>
                    <w:pStyle w:val="197"/>
                  </w:pPr>
                  <w:r>
                    <w:t>19</w:t>
                  </w:r>
                </w:p>
              </w:tc>
              <w:tc>
                <w:tcPr>
                  <w:tcW w:w="374" w:type="dxa"/>
                  <w:shd w:val="clear" w:color="auto" w:fill="F4EFE4"/>
                </w:tcPr>
                <w:p w14:paraId="4A6D7F9D"/>
              </w:tc>
              <w:tc>
                <w:tcPr>
                  <w:tcW w:w="374" w:type="dxa"/>
                  <w:shd w:val="clear" w:color="auto" w:fill="F4EFE4"/>
                </w:tcPr>
                <w:p w14:paraId="31A3D2D7"/>
              </w:tc>
            </w:tr>
            <w:tr w14:paraId="0ED901CE">
              <w:tblPrEx>
                <w:tblCellMar>
                  <w:top w:w="0" w:type="dxa"/>
                  <w:left w:w="17" w:type="dxa"/>
                  <w:bottom w:w="0" w:type="dxa"/>
                  <w:right w:w="11" w:type="dxa"/>
                </w:tblCellMar>
              </w:tblPrEx>
              <w:trPr>
                <w:trHeight w:val="374" w:hRule="exact"/>
              </w:trPr>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8BA8325"/>
              </w:tc>
              <w:tc>
                <w:tcPr>
                  <w:tcW w:w="374" w:type="dxa"/>
                  <w:shd w:val="clear" w:color="auto" w:fill="F4EFE4"/>
                </w:tcPr>
                <w:p w14:paraId="1E8D89D0"/>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0BB51E3"/>
              </w:tc>
              <w:tc>
                <w:tcPr>
                  <w:tcW w:w="374" w:type="dxa"/>
                  <w:shd w:val="clear" w:color="auto" w:fill="F4EFE4"/>
                </w:tcPr>
                <w:p w14:paraId="7869CE2D"/>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3F1E2F9"/>
              </w:tc>
              <w:tc>
                <w:tcPr>
                  <w:tcW w:w="374" w:type="dxa"/>
                  <w:shd w:val="clear" w:color="auto" w:fill="F4EFE4"/>
                </w:tcPr>
                <w:p w14:paraId="62A1FDD6"/>
              </w:tc>
              <w:tc>
                <w:tcPr>
                  <w:tcW w:w="374" w:type="dxa"/>
                  <w:shd w:val="clear" w:color="auto" w:fill="F4EFE4"/>
                </w:tcPr>
                <w:p w14:paraId="1520922A"/>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374CD8B2"/>
              </w:tc>
              <w:tc>
                <w:tcPr>
                  <w:tcW w:w="374" w:type="dxa"/>
                  <w:shd w:val="clear" w:color="auto" w:fill="F4EFE4"/>
                </w:tcPr>
                <w:p w14:paraId="263962E9"/>
              </w:tc>
              <w:tc>
                <w:tcPr>
                  <w:tcW w:w="374" w:type="dxa"/>
                  <w:shd w:val="clear" w:color="auto" w:fill="F4EFE4"/>
                </w:tcPr>
                <w:p w14:paraId="1A6ADD4C"/>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88687CF"/>
              </w:tc>
              <w:tc>
                <w:tcPr>
                  <w:tcW w:w="374" w:type="dxa"/>
                  <w:shd w:val="clear" w:color="auto" w:fill="F4EFE4"/>
                </w:tcPr>
                <w:p w14:paraId="50E0918A"/>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348D86A"/>
              </w:tc>
              <w:tc>
                <w:tcPr>
                  <w:tcW w:w="374" w:type="dxa"/>
                  <w:shd w:val="clear" w:color="auto" w:fill="F4EFE4"/>
                </w:tcPr>
                <w:p w14:paraId="0435F8FC"/>
              </w:tc>
              <w:tc>
                <w:tcPr>
                  <w:tcW w:w="374" w:type="dxa"/>
                  <w:shd w:val="clear" w:color="auto" w:fill="F4EFE4"/>
                </w:tcPr>
                <w:p w14:paraId="451FC397"/>
              </w:tc>
              <w:tc>
                <w:tcPr>
                  <w:tcW w:w="374" w:type="dxa"/>
                  <w:shd w:val="clear" w:color="auto" w:fill="F4EFE4"/>
                </w:tcPr>
                <w:p w14:paraId="12E76550"/>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4111ED9"/>
              </w:tc>
              <w:tc>
                <w:tcPr>
                  <w:tcW w:w="374" w:type="dxa"/>
                  <w:shd w:val="clear" w:color="auto" w:fill="F4EFE4"/>
                </w:tcPr>
                <w:p w14:paraId="34FDF20B"/>
              </w:tc>
              <w:tc>
                <w:tcPr>
                  <w:tcW w:w="374" w:type="dxa"/>
                  <w:shd w:val="clear" w:color="auto" w:fill="F4EFE4"/>
                </w:tcPr>
                <w:p w14:paraId="5034372B"/>
              </w:tc>
            </w:tr>
            <w:tr w14:paraId="75278B16">
              <w:tblPrEx>
                <w:tblCellMar>
                  <w:top w:w="0" w:type="dxa"/>
                  <w:left w:w="17" w:type="dxa"/>
                  <w:bottom w:w="0" w:type="dxa"/>
                  <w:right w:w="11" w:type="dxa"/>
                </w:tblCellMar>
              </w:tblPrEx>
              <w:trPr>
                <w:trHeight w:val="374" w:hRule="exact"/>
              </w:trPr>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3DFDF4B">
                  <w:pPr>
                    <w:pStyle w:val="197"/>
                  </w:pPr>
                  <w:r>
                    <w:t>20</w:t>
                  </w:r>
                </w:p>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11B42D3"/>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F97282C"/>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734F8E9"/>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18E9992"/>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31FD62B"/>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D27DB5F"/>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1B28371"/>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5C3E09F"/>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70A380F"/>
              </w:tc>
              <w:tc>
                <w:tcPr>
                  <w:tcW w:w="374" w:type="dxa"/>
                  <w:shd w:val="clear" w:color="auto" w:fill="F4EFE4"/>
                </w:tcPr>
                <w:p w14:paraId="0004C204"/>
              </w:tc>
              <w:tc>
                <w:tcPr>
                  <w:tcW w:w="374" w:type="dxa"/>
                  <w:shd w:val="clear" w:color="auto" w:fill="F4EFE4"/>
                </w:tcPr>
                <w:p w14:paraId="5A19EC75"/>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25F27D2">
                  <w:pPr>
                    <w:pStyle w:val="197"/>
                  </w:pPr>
                  <w:r>
                    <w:t>21</w:t>
                  </w:r>
                </w:p>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76B6A9D"/>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7CD6C61"/>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06A9BBEA"/>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1F8EE27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091988C3"/>
              </w:tc>
              <w:tc>
                <w:tcPr>
                  <w:tcW w:w="374" w:type="dxa"/>
                  <w:shd w:val="clear" w:color="auto" w:fill="F4EFE4"/>
                </w:tcPr>
                <w:p w14:paraId="5B5C6F70"/>
              </w:tc>
            </w:tr>
            <w:tr w14:paraId="388C6FE7">
              <w:tblPrEx>
                <w:tblCellMar>
                  <w:top w:w="0" w:type="dxa"/>
                  <w:left w:w="17" w:type="dxa"/>
                  <w:bottom w:w="0" w:type="dxa"/>
                  <w:right w:w="11" w:type="dxa"/>
                </w:tblCellMar>
              </w:tblPrEx>
              <w:trPr>
                <w:trHeight w:val="374" w:hRule="exact"/>
              </w:trPr>
              <w:tc>
                <w:tcPr>
                  <w:tcW w:w="374" w:type="dxa"/>
                  <w:shd w:val="clear" w:color="auto" w:fill="F4EFE4"/>
                </w:tcPr>
                <w:p w14:paraId="3C242872"/>
              </w:tc>
              <w:tc>
                <w:tcPr>
                  <w:tcW w:w="374" w:type="dxa"/>
                  <w:shd w:val="clear" w:color="auto" w:fill="F4EFE4"/>
                </w:tcPr>
                <w:p w14:paraId="7DBEBC71"/>
              </w:tc>
              <w:tc>
                <w:tcPr>
                  <w:tcW w:w="374" w:type="dxa"/>
                  <w:shd w:val="clear" w:color="auto" w:fill="F4EFE4"/>
                </w:tcPr>
                <w:p w14:paraId="24CEE983"/>
              </w:tc>
              <w:tc>
                <w:tcPr>
                  <w:tcW w:w="374" w:type="dxa"/>
                  <w:shd w:val="clear" w:color="auto" w:fill="F4EFE4"/>
                </w:tcPr>
                <w:p w14:paraId="13EAB98A"/>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189B8EF"/>
              </w:tc>
              <w:tc>
                <w:tcPr>
                  <w:tcW w:w="374" w:type="dxa"/>
                  <w:shd w:val="clear" w:color="auto" w:fill="F4EFE4"/>
                </w:tcPr>
                <w:p w14:paraId="4C2F715E"/>
              </w:tc>
              <w:tc>
                <w:tcPr>
                  <w:tcW w:w="374" w:type="dxa"/>
                  <w:shd w:val="clear" w:color="auto" w:fill="F4EFE4"/>
                </w:tcPr>
                <w:p w14:paraId="4D5E4503"/>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2281CE2"/>
              </w:tc>
              <w:tc>
                <w:tcPr>
                  <w:tcW w:w="374" w:type="dxa"/>
                  <w:shd w:val="clear" w:color="auto" w:fill="F4EFE4"/>
                </w:tcPr>
                <w:p w14:paraId="551211C4"/>
              </w:tc>
              <w:tc>
                <w:tcPr>
                  <w:tcW w:w="374" w:type="dxa"/>
                  <w:shd w:val="clear" w:color="auto" w:fill="F4EFE4"/>
                </w:tcPr>
                <w:p w14:paraId="629AC8F7"/>
              </w:tc>
              <w:tc>
                <w:tcPr>
                  <w:tcW w:w="374" w:type="dxa"/>
                  <w:shd w:val="clear" w:color="auto" w:fill="F4EFE4"/>
                </w:tcPr>
                <w:p w14:paraId="5AE4DF52"/>
              </w:tc>
              <w:tc>
                <w:tcPr>
                  <w:tcW w:w="374" w:type="dxa"/>
                  <w:shd w:val="clear" w:color="auto" w:fill="F4EFE4"/>
                </w:tcPr>
                <w:p w14:paraId="42E2CFD1"/>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7C481381"/>
              </w:tc>
              <w:tc>
                <w:tcPr>
                  <w:tcW w:w="374" w:type="dxa"/>
                  <w:shd w:val="clear" w:color="auto" w:fill="F4EFE4"/>
                </w:tcPr>
                <w:p w14:paraId="73269D58"/>
              </w:tc>
              <w:tc>
                <w:tcPr>
                  <w:tcW w:w="374" w:type="dxa"/>
                  <w:shd w:val="clear" w:color="auto" w:fill="F4EFE4"/>
                </w:tcPr>
                <w:p w14:paraId="3FDD58ED"/>
              </w:tc>
              <w:tc>
                <w:tcPr>
                  <w:tcW w:w="374" w:type="dxa"/>
                  <w:shd w:val="clear" w:color="auto" w:fill="F4EFE4"/>
                </w:tcPr>
                <w:p w14:paraId="09262339"/>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7085038"/>
              </w:tc>
              <w:tc>
                <w:tcPr>
                  <w:tcW w:w="374" w:type="dxa"/>
                  <w:shd w:val="clear" w:color="auto" w:fill="F4EFE4"/>
                </w:tcPr>
                <w:p w14:paraId="0DB61158"/>
              </w:tc>
              <w:tc>
                <w:tcPr>
                  <w:tcW w:w="374" w:type="dxa"/>
                  <w:shd w:val="clear" w:color="auto" w:fill="F4EFE4"/>
                </w:tcPr>
                <w:p w14:paraId="74F989F7"/>
              </w:tc>
            </w:tr>
            <w:tr w14:paraId="5852DA04">
              <w:tblPrEx>
                <w:tblCellMar>
                  <w:top w:w="0" w:type="dxa"/>
                  <w:left w:w="17" w:type="dxa"/>
                  <w:bottom w:w="0" w:type="dxa"/>
                  <w:right w:w="11" w:type="dxa"/>
                </w:tblCellMar>
              </w:tblPrEx>
              <w:trPr>
                <w:trHeight w:val="374" w:hRule="exact"/>
              </w:trPr>
              <w:tc>
                <w:tcPr>
                  <w:tcW w:w="374" w:type="dxa"/>
                  <w:shd w:val="clear" w:color="auto" w:fill="F4EFE4"/>
                </w:tcPr>
                <w:p w14:paraId="15FCAD3A"/>
              </w:tc>
              <w:tc>
                <w:tcPr>
                  <w:tcW w:w="374" w:type="dxa"/>
                  <w:shd w:val="clear" w:color="auto" w:fill="F4EFE4"/>
                </w:tcPr>
                <w:p w14:paraId="372AF185"/>
              </w:tc>
              <w:tc>
                <w:tcPr>
                  <w:tcW w:w="374" w:type="dxa"/>
                  <w:shd w:val="clear" w:color="auto" w:fill="F4EFE4"/>
                </w:tcPr>
                <w:p w14:paraId="35DF9F78"/>
              </w:tc>
              <w:tc>
                <w:tcPr>
                  <w:tcW w:w="374" w:type="dxa"/>
                  <w:shd w:val="clear" w:color="auto" w:fill="F4EFE4"/>
                </w:tcPr>
                <w:p w14:paraId="05A81F37"/>
              </w:tc>
              <w:tc>
                <w:tcPr>
                  <w:tcW w:w="374" w:type="dxa"/>
                  <w:shd w:val="clear" w:color="auto" w:fill="F4EFE4"/>
                </w:tcPr>
                <w:p w14:paraId="7124DB84"/>
              </w:tc>
              <w:tc>
                <w:tcPr>
                  <w:tcW w:w="374" w:type="dxa"/>
                  <w:shd w:val="clear" w:color="auto" w:fill="F4EFE4"/>
                </w:tcPr>
                <w:p w14:paraId="581E3327"/>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D4F4D81">
                  <w:pPr>
                    <w:pStyle w:val="197"/>
                  </w:pPr>
                  <w:r>
                    <w:t>22</w:t>
                  </w:r>
                </w:p>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64A69C1A"/>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44DF36C6"/>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584A1AE1"/>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043B6D5B"/>
              </w:tc>
              <w:tc>
                <w:tcPr>
                  <w:tcW w:w="374" w:type="dxa"/>
                  <w:tcBorders>
                    <w:top w:val="single" w:color="1E1C22" w:sz="6" w:space="0"/>
                    <w:left w:val="single" w:color="1E1C22" w:sz="6" w:space="0"/>
                    <w:bottom w:val="single" w:color="1E1C22" w:sz="6" w:space="0"/>
                    <w:right w:val="single" w:color="1E1C22" w:sz="6" w:space="0"/>
                  </w:tcBorders>
                  <w:shd w:val="clear" w:color="auto" w:fill="FFFFFF"/>
                </w:tcPr>
                <w:p w14:paraId="26545129"/>
              </w:tc>
              <w:tc>
                <w:tcPr>
                  <w:tcW w:w="374" w:type="dxa"/>
                  <w:shd w:val="clear" w:color="auto" w:fill="F4EFE4"/>
                </w:tcPr>
                <w:p w14:paraId="18138C4A"/>
              </w:tc>
              <w:tc>
                <w:tcPr>
                  <w:tcW w:w="374" w:type="dxa"/>
                  <w:shd w:val="clear" w:color="auto" w:fill="F4EFE4"/>
                </w:tcPr>
                <w:p w14:paraId="16575BAB"/>
              </w:tc>
              <w:tc>
                <w:tcPr>
                  <w:tcW w:w="374" w:type="dxa"/>
                  <w:shd w:val="clear" w:color="auto" w:fill="F4EFE4"/>
                </w:tcPr>
                <w:p w14:paraId="3BF44F33"/>
              </w:tc>
              <w:tc>
                <w:tcPr>
                  <w:tcW w:w="374" w:type="dxa"/>
                  <w:shd w:val="clear" w:color="auto" w:fill="F4EFE4"/>
                </w:tcPr>
                <w:p w14:paraId="0964A4E2"/>
              </w:tc>
              <w:tc>
                <w:tcPr>
                  <w:tcW w:w="374" w:type="dxa"/>
                  <w:shd w:val="clear" w:color="auto" w:fill="F4EFE4"/>
                </w:tcPr>
                <w:p w14:paraId="15870FD1"/>
              </w:tc>
              <w:tc>
                <w:tcPr>
                  <w:tcW w:w="374" w:type="dxa"/>
                  <w:shd w:val="clear" w:color="auto" w:fill="F4EFE4"/>
                </w:tcPr>
                <w:p w14:paraId="027E8335"/>
              </w:tc>
              <w:tc>
                <w:tcPr>
                  <w:tcW w:w="374" w:type="dxa"/>
                  <w:shd w:val="clear" w:color="auto" w:fill="F4EFE4"/>
                </w:tcPr>
                <w:p w14:paraId="266A0EA8"/>
              </w:tc>
            </w:tr>
          </w:tbl>
          <w:p w14:paraId="4D223CF2">
            <w:pPr>
              <w:pStyle w:val="164"/>
            </w:pPr>
          </w:p>
          <w:p w14:paraId="56BC33CD">
            <w:pPr>
              <w:pStyle w:val="204"/>
              <w:spacing w:before="60"/>
            </w:pPr>
            <w:r>
              <w:t>Las casillas numeradas marcan el inicio de cada palabra. Entre paréntesis, el número de letras.</w:t>
            </w:r>
          </w:p>
          <w:tbl>
            <w:tblPr>
              <w:tblStyle w:val="12"/>
              <w:tblW w:w="7313" w:type="dxa"/>
              <w:tblInd w:w="0" w:type="dxa"/>
              <w:tblLayout w:type="fixed"/>
              <w:tblCellMar>
                <w:top w:w="68" w:type="dxa"/>
                <w:left w:w="170" w:type="dxa"/>
                <w:bottom w:w="57" w:type="dxa"/>
                <w:right w:w="170" w:type="dxa"/>
              </w:tblCellMar>
            </w:tblPr>
            <w:tblGrid>
              <w:gridCol w:w="7313"/>
            </w:tblGrid>
            <w:tr w14:paraId="37F650E5">
              <w:tblPrEx>
                <w:tblCellMar>
                  <w:top w:w="68" w:type="dxa"/>
                  <w:left w:w="170" w:type="dxa"/>
                  <w:bottom w:w="57" w:type="dxa"/>
                  <w:right w:w="170" w:type="dxa"/>
                </w:tblCellMar>
              </w:tblPrEx>
              <w:tc>
                <w:tcPr>
                  <w:tcW w:w="7313" w:type="dxa"/>
                  <w:tcBorders>
                    <w:top w:val="single" w:color="1F6FB2" w:sz="24" w:space="0"/>
                  </w:tcBorders>
                  <w:shd w:val="clear" w:color="auto" w:fill="F4EFE4"/>
                </w:tcPr>
                <w:p w14:paraId="0C26F94A">
                  <w:pPr>
                    <w:pStyle w:val="191"/>
                    <w:spacing w:after="20"/>
                  </w:pPr>
                  <w:r>
                    <w:t>¿Sabías que...?</w:t>
                  </w:r>
                </w:p>
                <w:p w14:paraId="77D04BF5">
                  <w:pPr>
                    <w:pStyle w:val="192"/>
                    <w:spacing w:after="0"/>
                  </w:pPr>
                  <w:r>
                    <w:t>El DANE mide la pobreza con la clasificación que propuso Amartya Sen en 1981: la medición directa evalúa privaciones; la indirecta, la capacidad de adquirir bienes y servicios (DANE, 2026).</w:t>
                  </w:r>
                </w:p>
              </w:tc>
            </w:tr>
          </w:tbl>
          <w:p w14:paraId="2C6DA129">
            <w:pPr>
              <w:pStyle w:val="164"/>
            </w:pPr>
          </w:p>
        </w:tc>
        <w:tc>
          <w:tcPr>
            <w:tcW w:w="340" w:type="dxa"/>
          </w:tcPr>
          <w:p w14:paraId="06D31CC0"/>
        </w:tc>
        <w:tc>
          <w:tcPr>
            <w:tcW w:w="6826" w:type="dxa"/>
          </w:tcPr>
          <w:tbl>
            <w:tblPr>
              <w:tblStyle w:val="12"/>
              <w:tblW w:w="6826" w:type="dxa"/>
              <w:tblInd w:w="0" w:type="dxa"/>
              <w:tblLayout w:type="fixed"/>
              <w:tblCellMar>
                <w:top w:w="0" w:type="dxa"/>
                <w:left w:w="0" w:type="dxa"/>
                <w:bottom w:w="0" w:type="dxa"/>
                <w:right w:w="0" w:type="dxa"/>
              </w:tblCellMar>
            </w:tblPr>
            <w:tblGrid>
              <w:gridCol w:w="3243"/>
              <w:gridCol w:w="340"/>
              <w:gridCol w:w="3243"/>
            </w:tblGrid>
            <w:tr w14:paraId="1F22B44E">
              <w:tblPrEx>
                <w:tblCellMar>
                  <w:top w:w="0" w:type="dxa"/>
                  <w:left w:w="0" w:type="dxa"/>
                  <w:bottom w:w="0" w:type="dxa"/>
                  <w:right w:w="0" w:type="dxa"/>
                </w:tblCellMar>
              </w:tblPrEx>
              <w:tc>
                <w:tcPr>
                  <w:tcW w:w="3243" w:type="dxa"/>
                </w:tcPr>
                <w:p w14:paraId="46CA58B0">
                  <w:pPr>
                    <w:pStyle w:val="191"/>
                    <w:pBdr>
                      <w:bottom w:val="single" w:color="1F6FB2" w:sz="12" w:space="2"/>
                    </w:pBdr>
                  </w:pPr>
                  <w:r>
                    <w:t>Horizontales</w:t>
                  </w:r>
                </w:p>
                <w:p w14:paraId="45D4D2B0">
                  <w:pPr>
                    <w:pStyle w:val="196"/>
                  </w:pPr>
                  <w:r>
                    <w:rPr>
                      <w:rFonts w:ascii="Newsreader Text Bold" w:hAnsi="Newsreader Text Bold" w:eastAsia="Newsreader Text Bold" w:cs="Newsreader Text Bold"/>
                    </w:rPr>
                    <w:t>1.</w:t>
                  </w:r>
                  <w:r>
                    <w:t xml:space="preserve"> Para Bourdieu, sistema de disposiciones incorporadas que hace vivir la desigualdad como algo «natural». (7)</w:t>
                  </w:r>
                </w:p>
                <w:p w14:paraId="2EDAAA6A">
                  <w:pPr>
                    <w:pStyle w:val="196"/>
                  </w:pPr>
                  <w:r>
                    <w:rPr>
                      <w:rFonts w:ascii="Newsreader Text Bold" w:hAnsi="Newsreader Text Bold" w:eastAsia="Newsreader Text Bold" w:cs="Newsreader Text Bold"/>
                    </w:rPr>
                    <w:t>3.</w:t>
                  </w:r>
                  <w:r>
                    <w:t xml:space="preserve"> Así califica Suárez a los programas sociales de gran escala que analiza. (7)</w:t>
                  </w:r>
                </w:p>
                <w:p w14:paraId="71DE428F">
                  <w:pPr>
                    <w:pStyle w:val="196"/>
                  </w:pPr>
                  <w:r>
                    <w:rPr>
                      <w:rFonts w:ascii="Newsreader Text Bold" w:hAnsi="Newsreader Text Bold" w:eastAsia="Newsreader Text Bold" w:cs="Newsreader Text Bold"/>
                    </w:rPr>
                    <w:t>5.</w:t>
                  </w:r>
                  <w:r>
                    <w:t xml:space="preserve"> Filósofa estadounidense que propuso una lista de capacidades humanas centrales. (8)</w:t>
                  </w:r>
                </w:p>
                <w:p w14:paraId="4D749F04">
                  <w:pPr>
                    <w:pStyle w:val="196"/>
                  </w:pPr>
                  <w:r>
                    <w:rPr>
                      <w:rFonts w:ascii="Newsreader Text Bold" w:hAnsi="Newsreader Text Bold" w:eastAsia="Newsreader Text Bold" w:cs="Newsreader Text Bold"/>
                    </w:rPr>
                    <w:t>7.</w:t>
                  </w:r>
                  <w:r>
                    <w:t xml:space="preserve"> Problema de los programas que no llegan, en extensión ni en profundidad, a quienes más lo necesitan. (9)</w:t>
                  </w:r>
                </w:p>
                <w:p w14:paraId="67356937">
                  <w:pPr>
                    <w:pStyle w:val="196"/>
                  </w:pPr>
                  <w:r>
                    <w:rPr>
                      <w:rFonts w:ascii="Newsreader Text Bold" w:hAnsi="Newsreader Text Bold" w:eastAsia="Newsreader Text Bold" w:cs="Newsreader Text Bold"/>
                    </w:rPr>
                    <w:t>12.</w:t>
                  </w:r>
                  <w:r>
                    <w:t xml:space="preserve"> Problema social que logra entrar en la agenda pública, según Oszlak y O’Donnell. (8)</w:t>
                  </w:r>
                </w:p>
                <w:p w14:paraId="79C15C55">
                  <w:pPr>
                    <w:pStyle w:val="196"/>
                  </w:pPr>
                  <w:r>
                    <w:rPr>
                      <w:rFonts w:ascii="Newsreader Text Bold" w:hAnsi="Newsreader Text Bold" w:eastAsia="Newsreader Text Bold" w:cs="Newsreader Text Bold"/>
                    </w:rPr>
                    <w:t>14.</w:t>
                  </w:r>
                  <w:r>
                    <w:t xml:space="preserve"> Tipo de problema social ligado a riesgos del ciclo vital, cambios tecnológicos o catástrofes. (14)</w:t>
                  </w:r>
                </w:p>
                <w:p w14:paraId="0BDC36B8">
                  <w:pPr>
                    <w:pStyle w:val="196"/>
                  </w:pPr>
                  <w:r>
                    <w:rPr>
                      <w:rFonts w:ascii="Newsreader Text Bold" w:hAnsi="Newsreader Text Bold" w:eastAsia="Newsreader Text Bold" w:cs="Newsreader Text Bold"/>
                    </w:rPr>
                    <w:t>15.</w:t>
                  </w:r>
                  <w:r>
                    <w:t xml:space="preserve"> Economista indio, Nobel de Economía en 1998, creador del enfoque de capacidades. (3)</w:t>
                  </w:r>
                </w:p>
                <w:p w14:paraId="1825D255">
                  <w:pPr>
                    <w:pStyle w:val="196"/>
                  </w:pPr>
                  <w:r>
                    <w:rPr>
                      <w:rFonts w:ascii="Newsreader Text Bold" w:hAnsi="Newsreader Text Bold" w:eastAsia="Newsreader Text Bold" w:cs="Newsreader Text Bold"/>
                    </w:rPr>
                    <w:t>17.</w:t>
                  </w:r>
                  <w:r>
                    <w:t xml:space="preserve"> Condición que, según el DANE, afectó al 28,0 % de la población colombiana en 2025. (7)</w:t>
                  </w:r>
                </w:p>
                <w:p w14:paraId="75EA6292">
                  <w:pPr>
                    <w:pStyle w:val="196"/>
                  </w:pPr>
                  <w:r>
                    <w:rPr>
                      <w:rFonts w:ascii="Newsreader Text Bold" w:hAnsi="Newsreader Text Bold" w:eastAsia="Newsreader Text Bold" w:cs="Newsreader Text Bold"/>
                    </w:rPr>
                    <w:t>18.</w:t>
                  </w:r>
                  <w:r>
                    <w:t xml:space="preserve"> Sigla del Centro Interamericano para el Desarrollo Social, que publicó el texto de Suárez. (5)</w:t>
                  </w:r>
                </w:p>
                <w:p w14:paraId="61FF2937">
                  <w:pPr>
                    <w:pStyle w:val="196"/>
                  </w:pPr>
                  <w:r>
                    <w:rPr>
                      <w:rFonts w:ascii="Newsreader Text Bold" w:hAnsi="Newsreader Text Bold" w:eastAsia="Newsreader Text Bold" w:cs="Newsreader Text Bold"/>
                    </w:rPr>
                    <w:t>20.</w:t>
                  </w:r>
                  <w:r>
                    <w:t xml:space="preserve"> Problemas sociales ligados a la transgresión de normas vigentes, como la violencia urbana. (10)</w:t>
                  </w:r>
                </w:p>
                <w:p w14:paraId="60A90015">
                  <w:pPr>
                    <w:pStyle w:val="196"/>
                  </w:pPr>
                  <w:r>
                    <w:rPr>
                      <w:rFonts w:ascii="Newsreader Text Bold" w:hAnsi="Newsreader Text Bold" w:eastAsia="Newsreader Text Bold" w:cs="Newsreader Text Bold"/>
                    </w:rPr>
                    <w:t>21.</w:t>
                  </w:r>
                  <w:r>
                    <w:t xml:space="preserve"> Politólogo argentino que, con Guillermo O’Donnell, habló de «cuestiones socialmente problematizadas». (6)</w:t>
                  </w:r>
                </w:p>
                <w:p w14:paraId="3445BC38">
                  <w:pPr>
                    <w:pStyle w:val="196"/>
                  </w:pPr>
                  <w:r>
                    <w:rPr>
                      <w:rFonts w:ascii="Newsreader Text Bold" w:hAnsi="Newsreader Text Bold" w:eastAsia="Newsreader Text Bold" w:cs="Newsreader Text Bold"/>
                    </w:rPr>
                    <w:t>22.</w:t>
                  </w:r>
                  <w:r>
                    <w:t xml:space="preserve"> Término de Durkheim para el debilitamiento de las normas que regulan la conducta social. (6)</w:t>
                  </w:r>
                </w:p>
              </w:tc>
              <w:tc>
                <w:tcPr>
                  <w:tcW w:w="340" w:type="dxa"/>
                </w:tcPr>
                <w:p w14:paraId="7CAD5E03"/>
              </w:tc>
              <w:tc>
                <w:tcPr>
                  <w:tcW w:w="3243" w:type="dxa"/>
                </w:tcPr>
                <w:p w14:paraId="1C6FF7C5">
                  <w:pPr>
                    <w:pStyle w:val="191"/>
                    <w:pBdr>
                      <w:bottom w:val="single" w:color="1F6FB2" w:sz="12" w:space="2"/>
                    </w:pBdr>
                  </w:pPr>
                  <w:r>
                    <w:t>Verticales</w:t>
                  </w:r>
                </w:p>
                <w:p w14:paraId="232EC82C">
                  <w:pPr>
                    <w:pStyle w:val="196"/>
                  </w:pPr>
                  <w:r>
                    <w:rPr>
                      <w:rFonts w:ascii="Newsreader Text Bold" w:hAnsi="Newsreader Text Bold" w:eastAsia="Newsreader Text Bold" w:cs="Newsreader Text Bold"/>
                    </w:rPr>
                    <w:t>2.</w:t>
                  </w:r>
                  <w:r>
                    <w:t xml:space="preserve"> Sociólogo francés que escribió con Passeron </w:t>
                  </w:r>
                  <w:r>
                    <w:rPr>
                      <w:rFonts w:ascii="Newsreader Text Italic" w:hAnsi="Newsreader Text Italic" w:eastAsia="Newsreader Text Italic" w:cs="Newsreader Text Italic"/>
                    </w:rPr>
                    <w:t>La reproducción</w:t>
                  </w:r>
                  <w:r>
                    <w:t xml:space="preserve"> (1970). (8)</w:t>
                  </w:r>
                </w:p>
                <w:p w14:paraId="3F2F0896">
                  <w:pPr>
                    <w:pStyle w:val="196"/>
                  </w:pPr>
                  <w:r>
                    <w:rPr>
                      <w:rFonts w:ascii="Newsreader Text Bold" w:hAnsi="Newsreader Text Bold" w:eastAsia="Newsreader Text Bold" w:cs="Newsreader Text Bold"/>
                    </w:rPr>
                    <w:t>4.</w:t>
                  </w:r>
                  <w:r>
                    <w:t xml:space="preserve"> Autor de «Problemas sociales y problemas de programas sociales masivos»: Francisco M. ___. (6)</w:t>
                  </w:r>
                </w:p>
                <w:p w14:paraId="56D5159B">
                  <w:pPr>
                    <w:pStyle w:val="196"/>
                  </w:pPr>
                  <w:r>
                    <w:rPr>
                      <w:rFonts w:ascii="Newsreader Text Bold" w:hAnsi="Newsreader Text Bold" w:eastAsia="Newsreader Text Bold" w:cs="Newsreader Text Bold"/>
                    </w:rPr>
                    <w:t>6.</w:t>
                  </w:r>
                  <w:r>
                    <w:t xml:space="preserve"> Según Suárez, las políticas se plasman en un conjunto de ellos y estos, a su vez, en proyectos. (8)</w:t>
                  </w:r>
                </w:p>
                <w:p w14:paraId="6765470D">
                  <w:pPr>
                    <w:pStyle w:val="196"/>
                  </w:pPr>
                  <w:r>
                    <w:rPr>
                      <w:rFonts w:ascii="Newsreader Text Bold" w:hAnsi="Newsreader Text Bold" w:eastAsia="Newsreader Text Bold" w:cs="Newsreader Text Bold"/>
                    </w:rPr>
                    <w:t>7.</w:t>
                  </w:r>
                  <w:r>
                    <w:t xml:space="preserve"> Tipo de problema social referido a necesidades básicas insatisfechas: alimentación, vivienda, salud. (13)</w:t>
                  </w:r>
                </w:p>
                <w:p w14:paraId="1DEBDF5E">
                  <w:pPr>
                    <w:pStyle w:val="196"/>
                  </w:pPr>
                  <w:r>
                    <w:rPr>
                      <w:rFonts w:ascii="Newsreader Text Bold" w:hAnsi="Newsreader Text Bold" w:eastAsia="Newsreader Text Bold" w:cs="Newsreader Text Bold"/>
                    </w:rPr>
                    <w:t>8.</w:t>
                  </w:r>
                  <w:r>
                    <w:t xml:space="preserve"> Proceso que, junto con la dependencia de la población, vuelve permanentes a los programas. (15)</w:t>
                  </w:r>
                </w:p>
                <w:p w14:paraId="49EA2880">
                  <w:pPr>
                    <w:pStyle w:val="196"/>
                  </w:pPr>
                  <w:r>
                    <w:rPr>
                      <w:rFonts w:ascii="Newsreader Text Bold" w:hAnsi="Newsreader Text Bold" w:eastAsia="Newsreader Text Bold" w:cs="Newsreader Text Bold"/>
                    </w:rPr>
                    <w:t>9.</w:t>
                  </w:r>
                  <w:r>
                    <w:t xml:space="preserve"> Falta de actualización de las tecnologías y estructuras de un programa frente al estado del arte. (13)</w:t>
                  </w:r>
                </w:p>
                <w:p w14:paraId="48A5BECD">
                  <w:pPr>
                    <w:pStyle w:val="196"/>
                  </w:pPr>
                  <w:r>
                    <w:rPr>
                      <w:rFonts w:ascii="Newsreader Text Bold" w:hAnsi="Newsreader Text Bold" w:eastAsia="Newsreader Text Bold" w:cs="Newsreader Text Bold"/>
                    </w:rPr>
                    <w:t>10.</w:t>
                  </w:r>
                  <w:r>
                    <w:t xml:space="preserve"> Problemas de exclusión, pseudoparticipación o aislamiento en la tipología de Suárez. (13)</w:t>
                  </w:r>
                </w:p>
                <w:p w14:paraId="11177C30">
                  <w:pPr>
                    <w:pStyle w:val="196"/>
                  </w:pPr>
                  <w:r>
                    <w:rPr>
                      <w:rFonts w:ascii="Newsreader Text Bold" w:hAnsi="Newsreader Text Bold" w:eastAsia="Newsreader Text Bold" w:cs="Newsreader Text Bold"/>
                    </w:rPr>
                    <w:t>11.</w:t>
                  </w:r>
                  <w:r>
                    <w:t xml:space="preserve"> La situación problemática es la distancia entre la realidad observada y un ___ de deseabilidad. (8)</w:t>
                  </w:r>
                </w:p>
                <w:p w14:paraId="0DAC4B98">
                  <w:pPr>
                    <w:pStyle w:val="196"/>
                  </w:pPr>
                  <w:r>
                    <w:rPr>
                      <w:rFonts w:ascii="Newsreader Text Bold" w:hAnsi="Newsreader Text Bold" w:eastAsia="Newsreader Text Bold" w:cs="Newsreader Text Bold"/>
                    </w:rPr>
                    <w:t>13.</w:t>
                  </w:r>
                  <w:r>
                    <w:t xml:space="preserve"> Problemas asociados al desarraigo, las relocalizaciones o la aculturación forzosa. (9)</w:t>
                  </w:r>
                </w:p>
                <w:p w14:paraId="6EE79494">
                  <w:pPr>
                    <w:pStyle w:val="196"/>
                  </w:pPr>
                  <w:r>
                    <w:rPr>
                      <w:rFonts w:ascii="Newsreader Text Bold" w:hAnsi="Newsreader Text Bold" w:eastAsia="Newsreader Text Bold" w:cs="Newsreader Text Bold"/>
                    </w:rPr>
                    <w:t>16.</w:t>
                  </w:r>
                  <w:r>
                    <w:t xml:space="preserve"> Estructuras armadas barriales que ejercen control territorial en ciudades como Medellín. (6)</w:t>
                  </w:r>
                </w:p>
                <w:p w14:paraId="54A927E9">
                  <w:pPr>
                    <w:pStyle w:val="196"/>
                  </w:pPr>
                  <w:r>
                    <w:rPr>
                      <w:rFonts w:ascii="Newsreader Text Bold" w:hAnsi="Newsreader Text Bold" w:eastAsia="Newsreader Text Bold" w:cs="Newsreader Text Bold"/>
                    </w:rPr>
                    <w:t>19.</w:t>
                  </w:r>
                  <w:r>
                    <w:t xml:space="preserve"> Clifford R. ___, coautor con Henry D. McKay de la teoría de la desorganización social. (4)</w:t>
                  </w:r>
                </w:p>
              </w:tc>
            </w:tr>
          </w:tbl>
          <w:p w14:paraId="6EFA4702">
            <w:pPr>
              <w:pStyle w:val="164"/>
            </w:pPr>
          </w:p>
        </w:tc>
      </w:tr>
    </w:tbl>
    <w:p w14:paraId="5B01F5DE">
      <w:pPr>
        <w:pStyle w:val="204"/>
        <w:spacing w:before="100" w:line="160" w:lineRule="exact"/>
      </w:pPr>
      <w:r>
        <w:rPr>
          <w:rFonts w:ascii="Oswald Bold" w:hAnsi="Oswald Bold" w:eastAsia="Oswald Bold" w:cs="Oswald Bold"/>
          <w:sz w:val="13"/>
        </w:rPr>
        <w:t>SOLUCIÓN</w:t>
      </w:r>
      <w:r>
        <w:rPr>
          <w:sz w:val="13"/>
        </w:rPr>
        <w:t xml:space="preserve"> (no la mires antes de terminar)  Horizontales: 1 HABITUS · 3 MASIVOS · 5 NUSSBAUM · 7 COBERTURA · 12 CUESTION · 14 VULNERABILIDAD · 15 SEN · 17 POBREZA · 18 CIDES · 20 DESVIACION · 21 OSZLAK · 22 ANOMIA.  Verticales: 2 BOURDIEU · 4 SUAREZ · 6 PROGRAMA · 7 CARENCIALIDAD · 8 BUROCRATIZACION · 9 OBSOLESCENCIA · 10 PARTICIPACION · 11 ESTANDAR · 13 IDENTIDAD · 16 COMBOS · 19 SHAW.</w:t>
      </w:r>
    </w:p>
    <w:p w14:paraId="2D8DBF29">
      <w:pPr>
        <w:pStyle w:val="164"/>
        <w:sectPr>
          <w:headerReference r:id="rId7" w:type="default"/>
          <w:footerReference r:id="rId8" w:type="default"/>
          <w:pgSz w:w="15840" w:h="12240" w:orient="landscape"/>
          <w:pgMar w:top="964" w:right="680" w:bottom="737" w:left="680" w:header="397" w:footer="312" w:gutter="0"/>
          <w:cols w:space="720" w:num="1"/>
          <w:docGrid w:linePitch="360" w:charSpace="0"/>
        </w:sectPr>
      </w:pPr>
    </w:p>
    <w:tbl>
      <w:tblPr>
        <w:tblStyle w:val="12"/>
        <w:tblW w:w="10879" w:type="dxa"/>
        <w:tblInd w:w="0" w:type="dxa"/>
        <w:tblLayout w:type="fixed"/>
        <w:tblCellMar>
          <w:top w:w="0" w:type="dxa"/>
          <w:left w:w="0" w:type="dxa"/>
          <w:bottom w:w="34" w:type="dxa"/>
          <w:right w:w="0" w:type="dxa"/>
        </w:tblCellMar>
      </w:tblPr>
      <w:tblGrid>
        <w:gridCol w:w="6963"/>
        <w:gridCol w:w="3917"/>
      </w:tblGrid>
      <w:tr w14:paraId="5EE91D48">
        <w:tblPrEx>
          <w:tblCellMar>
            <w:top w:w="0" w:type="dxa"/>
            <w:left w:w="0" w:type="dxa"/>
            <w:bottom w:w="34" w:type="dxa"/>
            <w:right w:w="0" w:type="dxa"/>
          </w:tblCellMar>
        </w:tblPrEx>
        <w:tc>
          <w:tcPr>
            <w:tcW w:w="6963" w:type="dxa"/>
            <w:tcBorders>
              <w:bottom w:val="single" w:color="1E1C22" w:sz="18" w:space="0"/>
            </w:tcBorders>
            <w:vAlign w:val="bottom"/>
          </w:tcPr>
          <w:p w14:paraId="7F3A76BD">
            <w:pPr>
              <w:pStyle w:val="202"/>
            </w:pPr>
            <w:r>
              <w:t>Humor gráfico</w:t>
            </w:r>
            <w:r>
              <w:rPr>
                <w:rFonts w:ascii="Newsreader Display Italic" w:hAnsi="Newsreader Display Italic" w:eastAsia="Newsreader Display Italic" w:cs="Newsreader Display Italic"/>
                <w:caps w:val="0"/>
                <w:color w:val="6E6A72"/>
                <w:sz w:val="28"/>
              </w:rPr>
              <w:t xml:space="preserve">   Tira cómica</w:t>
            </w:r>
          </w:p>
        </w:tc>
        <w:tc>
          <w:tcPr>
            <w:tcW w:w="3917" w:type="dxa"/>
            <w:tcBorders>
              <w:bottom w:val="single" w:color="1E1C22" w:sz="18" w:space="0"/>
            </w:tcBorders>
            <w:vAlign w:val="bottom"/>
          </w:tcPr>
          <w:p w14:paraId="57EC0549">
            <w:pPr>
              <w:pStyle w:val="169"/>
              <w:jc w:val="right"/>
            </w:pPr>
            <w:r>
              <w:rPr>
                <w:rFonts w:ascii="Oswald Bold" w:hAnsi="Oswald Bold" w:eastAsia="Oswald Bold" w:cs="Oswald Bold"/>
                <w:color w:val="1F6FB2"/>
              </w:rPr>
              <w:t>GUION Y DIBUJO</w:t>
            </w:r>
          </w:p>
          <w:p w14:paraId="52DE80A4">
            <w:pPr>
              <w:pStyle w:val="169"/>
              <w:jc w:val="right"/>
            </w:pPr>
            <w:r>
              <w:t>Mesa de redacción de LA CUESTIÓN</w:t>
            </w:r>
          </w:p>
        </w:tc>
      </w:tr>
    </w:tbl>
    <w:p w14:paraId="36AD6BFB">
      <w:pPr>
        <w:pStyle w:val="172"/>
        <w:spacing w:before="40" w:after="0" w:line="640" w:lineRule="exact"/>
      </w:pPr>
      <w:r>
        <w:rPr>
          <w:sz w:val="56"/>
        </w:rPr>
        <w:t>Calle Cero</w:t>
      </w:r>
    </w:p>
    <w:p w14:paraId="7E16BA5D">
      <w:pPr>
        <w:pStyle w:val="182"/>
        <w:spacing w:after="100"/>
      </w:pPr>
      <w:r>
        <w:t>Un problema social se vuelve noticia, luego programa y otra vez olvido.</w:t>
      </w:r>
    </w:p>
    <w:tbl>
      <w:tblPr>
        <w:tblStyle w:val="12"/>
        <w:tblW w:w="8986" w:type="dxa"/>
        <w:jc w:val="center"/>
        <w:tblLayout w:type="fixed"/>
        <w:tblCellMar>
          <w:top w:w="0" w:type="dxa"/>
          <w:left w:w="0" w:type="dxa"/>
          <w:bottom w:w="0" w:type="dxa"/>
          <w:right w:w="0" w:type="dxa"/>
        </w:tblCellMar>
      </w:tblPr>
      <w:tblGrid>
        <w:gridCol w:w="4365"/>
        <w:gridCol w:w="255"/>
        <w:gridCol w:w="4365"/>
      </w:tblGrid>
      <w:tr w14:paraId="79CC8E21">
        <w:tblPrEx>
          <w:tblCellMar>
            <w:top w:w="0" w:type="dxa"/>
            <w:left w:w="0" w:type="dxa"/>
            <w:bottom w:w="0" w:type="dxa"/>
            <w:right w:w="0" w:type="dxa"/>
          </w:tblCellMar>
        </w:tblPrEx>
        <w:trPr>
          <w:jc w:val="center"/>
        </w:trPr>
        <w:tc>
          <w:tcPr>
            <w:tcW w:w="4365" w:type="dxa"/>
            <w:tcBorders>
              <w:top w:val="single" w:color="1E1C22" w:sz="18" w:space="0"/>
              <w:left w:val="single" w:color="1E1C22" w:sz="18" w:space="0"/>
              <w:bottom w:val="single" w:color="1E1C22" w:sz="18" w:space="0"/>
              <w:right w:val="single" w:color="1E1C22" w:sz="18" w:space="0"/>
            </w:tcBorders>
            <w:tcMar>
              <w:top w:w="0" w:type="dxa"/>
              <w:left w:w="0" w:type="dxa"/>
              <w:bottom w:w="0" w:type="dxa"/>
              <w:right w:w="0" w:type="dxa"/>
            </w:tcMar>
          </w:tcPr>
          <w:p w14:paraId="3E93EFFE">
            <w:pPr>
              <w:pStyle w:val="198"/>
              <w:shd w:val="clear" w:color="auto" w:fill="FFF1B8"/>
              <w:spacing w:before="60"/>
              <w:ind w:left="85" w:right="85"/>
            </w:pPr>
            <w:r>
              <w:t>1 · Corredor de la avenida del río, 6:00 a. m. Hace cuatro años don Ramiro duerme bajo este puente. Nadie lo ve.</w:t>
            </w:r>
          </w:p>
          <w:p w14:paraId="32A59C2A">
            <w:pPr>
              <w:pStyle w:val="165"/>
              <w:spacing w:before="40" w:after="0"/>
              <w:jc w:val="center"/>
            </w:pPr>
            <w:r>
              <w:drawing>
                <wp:inline distT="0" distB="0" distL="114300" distR="114300">
                  <wp:extent cx="2735580" cy="1492250"/>
                  <wp:effectExtent l="0" t="0" r="762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2736000" cy="1492364"/>
                          </a:xfrm>
                          <a:prstGeom prst="rect">
                            <a:avLst/>
                          </a:prstGeom>
                        </pic:spPr>
                      </pic:pic>
                    </a:graphicData>
                  </a:graphic>
                </wp:inline>
              </w:drawing>
            </w:r>
          </w:p>
        </w:tc>
        <w:tc>
          <w:tcPr>
            <w:tcW w:w="255" w:type="dxa"/>
          </w:tcPr>
          <w:p w14:paraId="50A1754F"/>
        </w:tc>
        <w:tc>
          <w:tcPr>
            <w:tcW w:w="4365" w:type="dxa"/>
            <w:tcBorders>
              <w:top w:val="single" w:color="1E1C22" w:sz="18" w:space="0"/>
              <w:left w:val="single" w:color="1E1C22" w:sz="18" w:space="0"/>
              <w:bottom w:val="single" w:color="1E1C22" w:sz="18" w:space="0"/>
              <w:right w:val="single" w:color="1E1C22" w:sz="18" w:space="0"/>
            </w:tcBorders>
            <w:tcMar>
              <w:top w:w="0" w:type="dxa"/>
              <w:left w:w="0" w:type="dxa"/>
              <w:bottom w:w="0" w:type="dxa"/>
              <w:right w:w="0" w:type="dxa"/>
            </w:tcMar>
          </w:tcPr>
          <w:p w14:paraId="222D46A0">
            <w:pPr>
              <w:pStyle w:val="199"/>
              <w:spacing w:before="60"/>
              <w:ind w:left="85" w:right="85"/>
            </w:pPr>
            <w:r>
              <w:t xml:space="preserve">2 · </w:t>
            </w:r>
            <w:r>
              <w:rPr>
                <w:rFonts w:ascii="Newsreader Text Bold" w:hAnsi="Newsreader Text Bold" w:eastAsia="Newsreader Text Bold" w:cs="Newsreader Text Bold"/>
              </w:rPr>
              <w:t>REPORTERA:</w:t>
            </w:r>
            <w:r>
              <w:t xml:space="preserve"> ¡Última hora! ¡Crisis en el corredor! ¿Quién tiene la culpa?</w:t>
            </w:r>
          </w:p>
          <w:p w14:paraId="6AD210F1">
            <w:pPr>
              <w:pStyle w:val="199"/>
              <w:spacing w:before="0"/>
              <w:ind w:left="85" w:right="85"/>
            </w:pPr>
            <w:r>
              <w:rPr>
                <w:rFonts w:ascii="Newsreader Text Bold" w:hAnsi="Newsreader Text Bold" w:eastAsia="Newsreader Text Bold" w:cs="Newsreader Text Bold"/>
              </w:rPr>
              <w:t>DON RAMIRO:</w:t>
            </w:r>
            <w:r>
              <w:t xml:space="preserve"> ¿Crisis? Yo llevo aquí cuatro años...</w:t>
            </w:r>
          </w:p>
          <w:p w14:paraId="2E32EEE5">
            <w:pPr>
              <w:pStyle w:val="165"/>
              <w:spacing w:before="40" w:after="0"/>
              <w:jc w:val="center"/>
            </w:pPr>
            <w:r>
              <w:drawing>
                <wp:inline distT="0" distB="0" distL="114300" distR="114300">
                  <wp:extent cx="2735580" cy="149225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2736000" cy="1492364"/>
                          </a:xfrm>
                          <a:prstGeom prst="rect">
                            <a:avLst/>
                          </a:prstGeom>
                        </pic:spPr>
                      </pic:pic>
                    </a:graphicData>
                  </a:graphic>
                </wp:inline>
              </w:drawing>
            </w:r>
          </w:p>
        </w:tc>
      </w:tr>
      <w:tr w14:paraId="6D9CA4EB">
        <w:tblPrEx>
          <w:tblCellMar>
            <w:top w:w="0" w:type="dxa"/>
            <w:left w:w="0" w:type="dxa"/>
            <w:bottom w:w="0" w:type="dxa"/>
            <w:right w:w="0" w:type="dxa"/>
          </w:tblCellMar>
        </w:tblPrEx>
        <w:trPr>
          <w:trHeight w:val="159" w:hRule="exact"/>
          <w:jc w:val="center"/>
        </w:trPr>
        <w:tc>
          <w:tcPr>
            <w:tcW w:w="4365" w:type="dxa"/>
          </w:tcPr>
          <w:p w14:paraId="6C3C10D6"/>
        </w:tc>
        <w:tc>
          <w:tcPr>
            <w:tcW w:w="255" w:type="dxa"/>
          </w:tcPr>
          <w:p w14:paraId="6D67EDAF"/>
        </w:tc>
        <w:tc>
          <w:tcPr>
            <w:tcW w:w="4365" w:type="dxa"/>
          </w:tcPr>
          <w:p w14:paraId="68EB6528"/>
        </w:tc>
      </w:tr>
      <w:tr w14:paraId="2EB416D9">
        <w:tblPrEx>
          <w:tblCellMar>
            <w:top w:w="0" w:type="dxa"/>
            <w:left w:w="0" w:type="dxa"/>
            <w:bottom w:w="0" w:type="dxa"/>
            <w:right w:w="0" w:type="dxa"/>
          </w:tblCellMar>
        </w:tblPrEx>
        <w:trPr>
          <w:jc w:val="center"/>
        </w:trPr>
        <w:tc>
          <w:tcPr>
            <w:tcW w:w="4365" w:type="dxa"/>
            <w:tcBorders>
              <w:top w:val="single" w:color="1E1C22" w:sz="18" w:space="0"/>
              <w:left w:val="single" w:color="1E1C22" w:sz="18" w:space="0"/>
              <w:bottom w:val="single" w:color="1E1C22" w:sz="18" w:space="0"/>
              <w:right w:val="single" w:color="1E1C22" w:sz="18" w:space="0"/>
            </w:tcBorders>
            <w:tcMar>
              <w:top w:w="0" w:type="dxa"/>
              <w:left w:w="0" w:type="dxa"/>
              <w:bottom w:w="0" w:type="dxa"/>
              <w:right w:w="0" w:type="dxa"/>
            </w:tcMar>
          </w:tcPr>
          <w:p w14:paraId="3FAE1CDD">
            <w:pPr>
              <w:pStyle w:val="198"/>
              <w:shd w:val="clear" w:color="auto" w:fill="FFF1B8"/>
              <w:spacing w:before="60"/>
              <w:ind w:left="85" w:right="85"/>
            </w:pPr>
            <w:r>
              <w:t>3 · Esa tarde, en rueda de prensa...</w:t>
            </w:r>
          </w:p>
          <w:p w14:paraId="5B0AA927">
            <w:pPr>
              <w:pStyle w:val="199"/>
              <w:spacing w:before="0"/>
              <w:ind w:left="85" w:right="85"/>
            </w:pPr>
            <w:r>
              <w:rPr>
                <w:rFonts w:ascii="Newsreader Text Bold" w:hAnsi="Newsreader Text Bold" w:eastAsia="Newsreader Text Bold" w:cs="Newsreader Text Bold"/>
              </w:rPr>
              <w:t>EL DOCTOR CIFRA:</w:t>
            </w:r>
            <w:r>
              <w:t xml:space="preserve"> ¡Lanzamos Calle Cero! Meta: cero habitantes de calle en 30 días.</w:t>
            </w:r>
          </w:p>
          <w:p w14:paraId="6F1A7908">
            <w:pPr>
              <w:pStyle w:val="165"/>
              <w:spacing w:before="40" w:after="0"/>
              <w:jc w:val="center"/>
            </w:pPr>
            <w:r>
              <w:drawing>
                <wp:inline distT="0" distB="0" distL="114300" distR="114300">
                  <wp:extent cx="2735580" cy="1492250"/>
                  <wp:effectExtent l="0" t="0" r="762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2736000" cy="1492364"/>
                          </a:xfrm>
                          <a:prstGeom prst="rect">
                            <a:avLst/>
                          </a:prstGeom>
                        </pic:spPr>
                      </pic:pic>
                    </a:graphicData>
                  </a:graphic>
                </wp:inline>
              </w:drawing>
            </w:r>
          </w:p>
        </w:tc>
        <w:tc>
          <w:tcPr>
            <w:tcW w:w="255" w:type="dxa"/>
          </w:tcPr>
          <w:p w14:paraId="486E8FFD"/>
        </w:tc>
        <w:tc>
          <w:tcPr>
            <w:tcW w:w="4365" w:type="dxa"/>
            <w:tcBorders>
              <w:top w:val="single" w:color="1E1C22" w:sz="18" w:space="0"/>
              <w:left w:val="single" w:color="1E1C22" w:sz="18" w:space="0"/>
              <w:bottom w:val="single" w:color="1E1C22" w:sz="18" w:space="0"/>
              <w:right w:val="single" w:color="1E1C22" w:sz="18" w:space="0"/>
            </w:tcBorders>
            <w:tcMar>
              <w:top w:w="0" w:type="dxa"/>
              <w:left w:w="0" w:type="dxa"/>
              <w:bottom w:w="0" w:type="dxa"/>
              <w:right w:w="0" w:type="dxa"/>
            </w:tcMar>
          </w:tcPr>
          <w:p w14:paraId="5BFA758F">
            <w:pPr>
              <w:pStyle w:val="199"/>
              <w:spacing w:before="60"/>
              <w:ind w:left="85" w:right="85"/>
            </w:pPr>
            <w:r>
              <w:t xml:space="preserve">4 · </w:t>
            </w:r>
            <w:r>
              <w:rPr>
                <w:rFonts w:ascii="Newsreader Text Bold" w:hAnsi="Newsreader Text Bold" w:eastAsia="Newsreader Text Bold" w:cs="Newsreader Text Bold"/>
              </w:rPr>
              <w:t>LUCÍA, TRABAJADORA SOCIAL:</w:t>
            </w:r>
            <w:r>
              <w:t xml:space="preserve"> Salió en el noticiero y ya hay programa: ahora es una «cuestión socialmente problematizada». ¿Alguien le preguntó a don Ramiro?</w:t>
            </w:r>
          </w:p>
          <w:p w14:paraId="158EC59A">
            <w:pPr>
              <w:pStyle w:val="165"/>
              <w:spacing w:before="40" w:after="0"/>
              <w:jc w:val="center"/>
            </w:pPr>
            <w:r>
              <w:drawing>
                <wp:inline distT="0" distB="0" distL="114300" distR="114300">
                  <wp:extent cx="2735580" cy="1492250"/>
                  <wp:effectExtent l="0" t="0" r="762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2736000" cy="1492364"/>
                          </a:xfrm>
                          <a:prstGeom prst="rect">
                            <a:avLst/>
                          </a:prstGeom>
                        </pic:spPr>
                      </pic:pic>
                    </a:graphicData>
                  </a:graphic>
                </wp:inline>
              </w:drawing>
            </w:r>
          </w:p>
        </w:tc>
      </w:tr>
      <w:tr w14:paraId="16C74379">
        <w:tblPrEx>
          <w:tblCellMar>
            <w:top w:w="0" w:type="dxa"/>
            <w:left w:w="0" w:type="dxa"/>
            <w:bottom w:w="0" w:type="dxa"/>
            <w:right w:w="0" w:type="dxa"/>
          </w:tblCellMar>
        </w:tblPrEx>
        <w:trPr>
          <w:trHeight w:val="159" w:hRule="exact"/>
          <w:jc w:val="center"/>
        </w:trPr>
        <w:tc>
          <w:tcPr>
            <w:tcW w:w="4365" w:type="dxa"/>
          </w:tcPr>
          <w:p w14:paraId="1235F744"/>
        </w:tc>
        <w:tc>
          <w:tcPr>
            <w:tcW w:w="255" w:type="dxa"/>
          </w:tcPr>
          <w:p w14:paraId="54C5368E"/>
        </w:tc>
        <w:tc>
          <w:tcPr>
            <w:tcW w:w="4365" w:type="dxa"/>
          </w:tcPr>
          <w:p w14:paraId="3BA762FF"/>
        </w:tc>
      </w:tr>
      <w:tr w14:paraId="46630EED">
        <w:tblPrEx>
          <w:tblCellMar>
            <w:top w:w="0" w:type="dxa"/>
            <w:left w:w="0" w:type="dxa"/>
            <w:bottom w:w="0" w:type="dxa"/>
            <w:right w:w="0" w:type="dxa"/>
          </w:tblCellMar>
        </w:tblPrEx>
        <w:trPr>
          <w:jc w:val="center"/>
        </w:trPr>
        <w:tc>
          <w:tcPr>
            <w:tcW w:w="4365" w:type="dxa"/>
            <w:tcBorders>
              <w:top w:val="single" w:color="1E1C22" w:sz="18" w:space="0"/>
              <w:left w:val="single" w:color="1E1C22" w:sz="18" w:space="0"/>
              <w:bottom w:val="single" w:color="1E1C22" w:sz="18" w:space="0"/>
              <w:right w:val="single" w:color="1E1C22" w:sz="18" w:space="0"/>
            </w:tcBorders>
            <w:tcMar>
              <w:top w:w="0" w:type="dxa"/>
              <w:left w:w="0" w:type="dxa"/>
              <w:bottom w:w="0" w:type="dxa"/>
              <w:right w:w="0" w:type="dxa"/>
            </w:tcMar>
          </w:tcPr>
          <w:p w14:paraId="4F3D248B">
            <w:pPr>
              <w:pStyle w:val="198"/>
              <w:shd w:val="clear" w:color="auto" w:fill="FFF1B8"/>
              <w:spacing w:before="60"/>
              <w:ind w:left="85" w:right="85"/>
            </w:pPr>
            <w:r>
              <w:t>5 · Tres meses después...</w:t>
            </w:r>
          </w:p>
          <w:p w14:paraId="64243B4C">
            <w:pPr>
              <w:pStyle w:val="199"/>
              <w:spacing w:before="0"/>
              <w:ind w:left="85" w:right="85"/>
            </w:pPr>
            <w:r>
              <w:rPr>
                <w:rFonts w:ascii="Newsreader Text Bold" w:hAnsi="Newsreader Text Bold" w:eastAsia="Newsreader Text Bold" w:cs="Newsreader Text Bold"/>
              </w:rPr>
              <w:t>DON RAMIRO:</w:t>
            </w:r>
            <w:r>
              <w:t xml:space="preserve"> Vinieron, me tomaron una foto y se fueron. Dicen que se acabó la plata.</w:t>
            </w:r>
          </w:p>
          <w:p w14:paraId="332A08F5">
            <w:pPr>
              <w:pStyle w:val="165"/>
              <w:spacing w:before="40" w:after="0"/>
              <w:jc w:val="center"/>
            </w:pPr>
            <w:r>
              <w:drawing>
                <wp:inline distT="0" distB="0" distL="114300" distR="114300">
                  <wp:extent cx="2735580" cy="1492250"/>
                  <wp:effectExtent l="0" t="0" r="762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2736000" cy="1492364"/>
                          </a:xfrm>
                          <a:prstGeom prst="rect">
                            <a:avLst/>
                          </a:prstGeom>
                        </pic:spPr>
                      </pic:pic>
                    </a:graphicData>
                  </a:graphic>
                </wp:inline>
              </w:drawing>
            </w:r>
          </w:p>
        </w:tc>
        <w:tc>
          <w:tcPr>
            <w:tcW w:w="255" w:type="dxa"/>
          </w:tcPr>
          <w:p w14:paraId="3A7AE0DE"/>
        </w:tc>
        <w:tc>
          <w:tcPr>
            <w:tcW w:w="4365" w:type="dxa"/>
            <w:tcBorders>
              <w:top w:val="single" w:color="1E1C22" w:sz="18" w:space="0"/>
              <w:left w:val="single" w:color="1E1C22" w:sz="18" w:space="0"/>
              <w:bottom w:val="single" w:color="1E1C22" w:sz="18" w:space="0"/>
              <w:right w:val="single" w:color="1E1C22" w:sz="18" w:space="0"/>
            </w:tcBorders>
            <w:tcMar>
              <w:top w:w="0" w:type="dxa"/>
              <w:left w:w="0" w:type="dxa"/>
              <w:bottom w:w="0" w:type="dxa"/>
              <w:right w:w="0" w:type="dxa"/>
            </w:tcMar>
          </w:tcPr>
          <w:p w14:paraId="20B5E6A7">
            <w:pPr>
              <w:pStyle w:val="199"/>
              <w:spacing w:before="60"/>
              <w:ind w:left="85" w:right="85"/>
            </w:pPr>
            <w:r>
              <w:t xml:space="preserve">6 · </w:t>
            </w:r>
            <w:r>
              <w:rPr>
                <w:rFonts w:ascii="Newsreader Text Bold" w:hAnsi="Newsreader Text Bold" w:eastAsia="Newsreader Text Bold" w:cs="Newsreader Text Bold"/>
              </w:rPr>
              <w:t>LUCÍA:</w:t>
            </w:r>
            <w:r>
              <w:t xml:space="preserve"> El problema no era solo la calle: era un programa sin cobertura real, rígido y sin presupuesto estable. Empecemos por escucharlo.</w:t>
            </w:r>
          </w:p>
          <w:p w14:paraId="4DB6F1CD">
            <w:pPr>
              <w:pStyle w:val="199"/>
              <w:spacing w:before="0"/>
              <w:ind w:left="85" w:right="85"/>
            </w:pPr>
            <w:r>
              <w:rPr>
                <w:rFonts w:ascii="Newsreader Text Bold" w:hAnsi="Newsreader Text Bold" w:eastAsia="Newsreader Text Bold" w:cs="Newsreader Text Bold"/>
              </w:rPr>
              <w:t>DON RAMIRO:</w:t>
            </w:r>
            <w:r>
              <w:t xml:space="preserve"> Por fin alguien pregunta.</w:t>
            </w:r>
          </w:p>
          <w:p w14:paraId="2B761DB9">
            <w:pPr>
              <w:pStyle w:val="165"/>
              <w:spacing w:before="40" w:after="0"/>
              <w:jc w:val="center"/>
            </w:pPr>
            <w:r>
              <w:drawing>
                <wp:inline distT="0" distB="0" distL="114300" distR="114300">
                  <wp:extent cx="2735580" cy="1492250"/>
                  <wp:effectExtent l="0" t="0" r="762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2736000" cy="1492364"/>
                          </a:xfrm>
                          <a:prstGeom prst="rect">
                            <a:avLst/>
                          </a:prstGeom>
                        </pic:spPr>
                      </pic:pic>
                    </a:graphicData>
                  </a:graphic>
                </wp:inline>
              </w:drawing>
            </w:r>
          </w:p>
        </w:tc>
      </w:tr>
    </w:tbl>
    <w:p w14:paraId="28E1393E">
      <w:pPr>
        <w:pStyle w:val="164"/>
        <w:spacing w:line="100" w:lineRule="exact"/>
      </w:pPr>
    </w:p>
    <w:tbl>
      <w:tblPr>
        <w:tblStyle w:val="12"/>
        <w:tblW w:w="10879" w:type="dxa"/>
        <w:tblInd w:w="0" w:type="dxa"/>
        <w:tblLayout w:type="fixed"/>
        <w:tblCellMar>
          <w:top w:w="91" w:type="dxa"/>
          <w:left w:w="142" w:type="dxa"/>
          <w:bottom w:w="79" w:type="dxa"/>
          <w:right w:w="142" w:type="dxa"/>
        </w:tblCellMar>
      </w:tblPr>
      <w:tblGrid>
        <w:gridCol w:w="3513"/>
        <w:gridCol w:w="170"/>
        <w:gridCol w:w="3513"/>
        <w:gridCol w:w="170"/>
        <w:gridCol w:w="3513"/>
      </w:tblGrid>
      <w:tr w14:paraId="3B8FB464">
        <w:tblPrEx>
          <w:tblCellMar>
            <w:top w:w="91" w:type="dxa"/>
            <w:left w:w="142" w:type="dxa"/>
            <w:bottom w:w="79" w:type="dxa"/>
            <w:right w:w="142" w:type="dxa"/>
          </w:tblCellMar>
        </w:tblPrEx>
        <w:tc>
          <w:tcPr>
            <w:tcW w:w="3513" w:type="dxa"/>
            <w:tcBorders>
              <w:top w:val="single" w:color="1F6FB2" w:sz="24" w:space="0"/>
            </w:tcBorders>
            <w:shd w:val="clear" w:color="auto" w:fill="F4EFE4"/>
          </w:tcPr>
          <w:p w14:paraId="21487A97">
            <w:pPr>
              <w:pStyle w:val="191"/>
            </w:pPr>
            <w:r>
              <w:rPr>
                <w:sz w:val="18"/>
              </w:rPr>
              <w:t>Viñetas 1 y 2 · De problema a cuestión</w:t>
            </w:r>
          </w:p>
          <w:p w14:paraId="5299C266">
            <w:pPr>
              <w:pStyle w:val="192"/>
              <w:spacing w:after="0"/>
            </w:pPr>
            <w:r>
              <w:t>Una condición de años solo se vuelve «cuestión» cuando captura la atención pública a través de los medios (Suárez, 1989).</w:t>
            </w:r>
          </w:p>
        </w:tc>
        <w:tc>
          <w:tcPr>
            <w:tcW w:w="170" w:type="dxa"/>
          </w:tcPr>
          <w:p w14:paraId="53216DD4"/>
        </w:tc>
        <w:tc>
          <w:tcPr>
            <w:tcW w:w="3513" w:type="dxa"/>
            <w:tcBorders>
              <w:top w:val="single" w:color="1F6FB2" w:sz="24" w:space="0"/>
            </w:tcBorders>
            <w:shd w:val="clear" w:color="auto" w:fill="F4EFE4"/>
          </w:tcPr>
          <w:p w14:paraId="128414DA">
            <w:pPr>
              <w:pStyle w:val="191"/>
            </w:pPr>
            <w:r>
              <w:rPr>
                <w:sz w:val="18"/>
              </w:rPr>
              <w:t>Viñetas 3 y 4 · La meta como espectáculo</w:t>
            </w:r>
          </w:p>
          <w:p w14:paraId="03D349AA">
            <w:pPr>
              <w:pStyle w:val="192"/>
              <w:spacing w:after="0"/>
            </w:pPr>
            <w:r>
              <w:t>Un programa hecho bajo presión mediática promete resultados sin diagnóstico ni participación.</w:t>
            </w:r>
          </w:p>
        </w:tc>
        <w:tc>
          <w:tcPr>
            <w:tcW w:w="170" w:type="dxa"/>
          </w:tcPr>
          <w:p w14:paraId="5C5A7D4C"/>
        </w:tc>
        <w:tc>
          <w:tcPr>
            <w:tcW w:w="3513" w:type="dxa"/>
            <w:tcBorders>
              <w:top w:val="single" w:color="1F6FB2" w:sz="24" w:space="0"/>
            </w:tcBorders>
            <w:shd w:val="clear" w:color="auto" w:fill="F4EFE4"/>
          </w:tcPr>
          <w:p w14:paraId="59BCCF60">
            <w:pPr>
              <w:pStyle w:val="191"/>
            </w:pPr>
            <w:r>
              <w:rPr>
                <w:sz w:val="18"/>
              </w:rPr>
              <w:t>Viñetas 5 y 6 · Problemas del programa</w:t>
            </w:r>
          </w:p>
          <w:p w14:paraId="4C7FB6FF">
            <w:pPr>
              <w:pStyle w:val="192"/>
              <w:spacing w:after="0"/>
            </w:pPr>
            <w:r>
              <w:t>Cobertura insuficiente, rigidez y financiamiento discontinuo: la vulnerabilidad del programa se suma a la de quien vive en la calle.</w:t>
            </w:r>
          </w:p>
        </w:tc>
      </w:tr>
    </w:tbl>
    <w:p w14:paraId="2C1886B6">
      <w:pPr>
        <w:pStyle w:val="164"/>
        <w:sectPr>
          <w:headerReference r:id="rId9" w:type="default"/>
          <w:footerReference r:id="rId10" w:type="default"/>
          <w:pgSz w:w="12240" w:h="15840"/>
          <w:pgMar w:top="964" w:right="680" w:bottom="737" w:left="680" w:header="397" w:footer="312" w:gutter="0"/>
          <w:cols w:space="720" w:num="1"/>
          <w:docGrid w:linePitch="360" w:charSpace="0"/>
        </w:sectPr>
      </w:pPr>
    </w:p>
    <w:tbl>
      <w:tblPr>
        <w:tblStyle w:val="12"/>
        <w:tblW w:w="10879" w:type="dxa"/>
        <w:tblInd w:w="0" w:type="dxa"/>
        <w:tblLayout w:type="fixed"/>
        <w:tblCellMar>
          <w:top w:w="0" w:type="dxa"/>
          <w:left w:w="0" w:type="dxa"/>
          <w:bottom w:w="34" w:type="dxa"/>
          <w:right w:w="0" w:type="dxa"/>
        </w:tblCellMar>
      </w:tblPr>
      <w:tblGrid>
        <w:gridCol w:w="6963"/>
        <w:gridCol w:w="3917"/>
      </w:tblGrid>
      <w:tr w14:paraId="57B98403">
        <w:tblPrEx>
          <w:tblCellMar>
            <w:top w:w="0" w:type="dxa"/>
            <w:left w:w="0" w:type="dxa"/>
            <w:bottom w:w="34" w:type="dxa"/>
            <w:right w:w="0" w:type="dxa"/>
          </w:tblCellMar>
        </w:tblPrEx>
        <w:tc>
          <w:tcPr>
            <w:tcW w:w="6963" w:type="dxa"/>
            <w:tcBorders>
              <w:bottom w:val="single" w:color="1E1C22" w:sz="18" w:space="0"/>
            </w:tcBorders>
            <w:vAlign w:val="bottom"/>
          </w:tcPr>
          <w:p w14:paraId="6C5F5F5C">
            <w:pPr>
              <w:pStyle w:val="202"/>
            </w:pPr>
            <w:r>
              <w:t>Agenda</w:t>
            </w:r>
            <w:r>
              <w:rPr>
                <w:rFonts w:ascii="Newsreader Display Italic" w:hAnsi="Newsreader Display Italic" w:eastAsia="Newsreader Display Italic" w:cs="Newsreader Display Italic"/>
                <w:caps w:val="0"/>
                <w:color w:val="6E6A72"/>
                <w:sz w:val="28"/>
              </w:rPr>
              <w:t xml:space="preserve">   Próximas ediciones y fuentes</w:t>
            </w:r>
          </w:p>
        </w:tc>
        <w:tc>
          <w:tcPr>
            <w:tcW w:w="3917" w:type="dxa"/>
            <w:tcBorders>
              <w:bottom w:val="single" w:color="1E1C22" w:sz="18" w:space="0"/>
            </w:tcBorders>
            <w:vAlign w:val="bottom"/>
          </w:tcPr>
          <w:p w14:paraId="64D9F55D">
            <w:pPr>
              <w:pStyle w:val="169"/>
              <w:jc w:val="right"/>
            </w:pPr>
            <w:r>
              <w:rPr>
                <w:rFonts w:ascii="Oswald Bold" w:hAnsi="Oswald Bold" w:eastAsia="Oswald Bold" w:cs="Oswald Bold"/>
                <w:color w:val="1F6FB2"/>
              </w:rPr>
              <w:t>CONTRAPORTADA</w:t>
            </w:r>
          </w:p>
          <w:p w14:paraId="29D8C2FF">
            <w:pPr>
              <w:pStyle w:val="169"/>
              <w:jc w:val="right"/>
            </w:pPr>
            <w:r>
              <w:t>Cronograma académico 2026</w:t>
            </w:r>
          </w:p>
        </w:tc>
      </w:tr>
    </w:tbl>
    <w:p w14:paraId="443864DE">
      <w:pPr>
        <w:pStyle w:val="172"/>
        <w:spacing w:before="120" w:after="120" w:line="660" w:lineRule="exact"/>
      </w:pPr>
      <w:r>
        <w:rPr>
          <w:sz w:val="56"/>
        </w:rPr>
        <w:t>Lo que viene en LA CUESTIÓN</w:t>
      </w:r>
    </w:p>
    <w:tbl>
      <w:tblPr>
        <w:tblStyle w:val="12"/>
        <w:tblW w:w="10879" w:type="dxa"/>
        <w:tblInd w:w="0" w:type="dxa"/>
        <w:tblLayout w:type="fixed"/>
        <w:tblCellMar>
          <w:top w:w="0" w:type="dxa"/>
          <w:left w:w="0" w:type="dxa"/>
          <w:bottom w:w="0" w:type="dxa"/>
          <w:right w:w="0" w:type="dxa"/>
        </w:tblCellMar>
      </w:tblPr>
      <w:tblGrid>
        <w:gridCol w:w="3475"/>
        <w:gridCol w:w="227"/>
        <w:gridCol w:w="3475"/>
        <w:gridCol w:w="227"/>
        <w:gridCol w:w="3475"/>
      </w:tblGrid>
      <w:tr w14:paraId="73A55C8C">
        <w:tblPrEx>
          <w:tblCellMar>
            <w:top w:w="0" w:type="dxa"/>
            <w:left w:w="0" w:type="dxa"/>
            <w:bottom w:w="0" w:type="dxa"/>
            <w:right w:w="0" w:type="dxa"/>
          </w:tblCellMar>
        </w:tblPrEx>
        <w:tc>
          <w:tcPr>
            <w:tcW w:w="3475" w:type="dxa"/>
          </w:tcPr>
          <w:p w14:paraId="204EDC63">
            <w:pPr>
              <w:pStyle w:val="165"/>
              <w:spacing w:before="0" w:after="0"/>
              <w:jc w:val="left"/>
            </w:pPr>
            <w:r>
              <w:drawing>
                <wp:inline distT="0" distB="0" distL="114300" distR="114300">
                  <wp:extent cx="2206625" cy="1250315"/>
                  <wp:effectExtent l="0" t="0" r="3175"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2206800" cy="1250520"/>
                          </a:xfrm>
                          <a:prstGeom prst="rect">
                            <a:avLst/>
                          </a:prstGeom>
                        </pic:spPr>
                      </pic:pic>
                    </a:graphicData>
                  </a:graphic>
                </wp:inline>
              </w:drawing>
            </w:r>
          </w:p>
          <w:p w14:paraId="743CE937">
            <w:pPr>
              <w:pStyle w:val="186"/>
              <w:spacing w:before="80"/>
            </w:pPr>
            <w:r>
              <w:rPr>
                <w:sz w:val="18"/>
              </w:rPr>
              <w:t>15 de septiembre · Columna 3</w:t>
            </w:r>
          </w:p>
          <w:p w14:paraId="65F8E22C">
            <w:pPr>
              <w:pStyle w:val="177"/>
              <w:spacing w:after="40" w:line="290" w:lineRule="exact"/>
            </w:pPr>
            <w:r>
              <w:rPr>
                <w:sz w:val="26"/>
              </w:rPr>
              <w:t>Habitantes de calle concentrados en corredores urbanos</w:t>
            </w:r>
          </w:p>
          <w:p w14:paraId="1A18DF8C">
            <w:pPr>
              <w:pStyle w:val="183"/>
              <w:spacing w:after="60"/>
            </w:pPr>
            <w:r>
              <w:t>Teoría del Desarrollo Humano · Amartya Sen y Martha Nussbaum</w:t>
            </w:r>
          </w:p>
          <w:p w14:paraId="603CDE6F">
            <w:pPr>
              <w:pStyle w:val="187"/>
              <w:jc w:val="left"/>
            </w:pPr>
            <w:r>
              <w:t>El enfoque de capacidades desplaza la pregunta del ingreso a lo que las personas pueden efectivamente ser y hacer.</w:t>
            </w:r>
          </w:p>
          <w:p w14:paraId="4646D2D5">
            <w:pPr>
              <w:pStyle w:val="187"/>
              <w:spacing w:after="0"/>
              <w:jc w:val="left"/>
            </w:pPr>
            <w:r>
              <w:rPr>
                <w:rFonts w:ascii="Newsreader Text Bold" w:hAnsi="Newsreader Text Bold" w:eastAsia="Newsreader Text Bold" w:cs="Newsreader Text Bold"/>
              </w:rPr>
              <w:t>Pregunta guía:</w:t>
            </w:r>
            <w:r>
              <w:t xml:space="preserve"> ¿Qué capacidades niega la vida en los corredores urbanos y quién debe garantizarlas?</w:t>
            </w:r>
          </w:p>
        </w:tc>
        <w:tc>
          <w:tcPr>
            <w:tcW w:w="227" w:type="dxa"/>
          </w:tcPr>
          <w:p w14:paraId="3383007B"/>
        </w:tc>
        <w:tc>
          <w:tcPr>
            <w:tcW w:w="3475" w:type="dxa"/>
          </w:tcPr>
          <w:p w14:paraId="145813FA">
            <w:pPr>
              <w:pStyle w:val="165"/>
              <w:spacing w:before="0" w:after="0"/>
              <w:jc w:val="left"/>
            </w:pPr>
            <w:r>
              <w:drawing>
                <wp:inline distT="0" distB="0" distL="114300" distR="114300">
                  <wp:extent cx="2206625" cy="1470660"/>
                  <wp:effectExtent l="0" t="0" r="317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2206800" cy="1471200"/>
                          </a:xfrm>
                          <a:prstGeom prst="rect">
                            <a:avLst/>
                          </a:prstGeom>
                        </pic:spPr>
                      </pic:pic>
                    </a:graphicData>
                  </a:graphic>
                </wp:inline>
              </w:drawing>
            </w:r>
          </w:p>
          <w:p w14:paraId="2D4C207A">
            <w:pPr>
              <w:pStyle w:val="186"/>
              <w:spacing w:before="80"/>
            </w:pPr>
            <w:r>
              <w:rPr>
                <w:sz w:val="18"/>
              </w:rPr>
              <w:t>22 de septiembre · Columna 4</w:t>
            </w:r>
          </w:p>
          <w:p w14:paraId="50521558">
            <w:pPr>
              <w:pStyle w:val="177"/>
              <w:spacing w:after="40" w:line="290" w:lineRule="exact"/>
            </w:pPr>
            <w:r>
              <w:rPr>
                <w:sz w:val="26"/>
              </w:rPr>
              <w:t>Desplazamiento intraurbano por control territorial de combos</w:t>
            </w:r>
          </w:p>
          <w:p w14:paraId="4BAA865F">
            <w:pPr>
              <w:pStyle w:val="183"/>
              <w:spacing w:after="60"/>
            </w:pPr>
            <w:r>
              <w:t>Teoría de la Desorganización Social · Clifford R. Shaw y Henry D. McKay</w:t>
            </w:r>
          </w:p>
          <w:p w14:paraId="0E6D8705">
            <w:pPr>
              <w:pStyle w:val="187"/>
              <w:jc w:val="left"/>
            </w:pPr>
            <w:r>
              <w:t>Shaw y McKay mostraron que la delincuencia se concentra en territorios con lazos comunitarios debilitados, más allá de quiénes los habiten.</w:t>
            </w:r>
          </w:p>
          <w:p w14:paraId="30FBC784">
            <w:pPr>
              <w:pStyle w:val="187"/>
              <w:spacing w:after="0"/>
              <w:jc w:val="left"/>
            </w:pPr>
            <w:r>
              <w:rPr>
                <w:rFonts w:ascii="Newsreader Text Bold" w:hAnsi="Newsreader Text Bold" w:eastAsia="Newsreader Text Bold" w:cs="Newsreader Text Bold"/>
              </w:rPr>
              <w:t>Pregunta guía:</w:t>
            </w:r>
            <w:r>
              <w:t xml:space="preserve"> ¿Qué condiciones del barrio, y no solo de las personas, permiten que un combo decida quién se va?</w:t>
            </w:r>
          </w:p>
        </w:tc>
        <w:tc>
          <w:tcPr>
            <w:tcW w:w="227" w:type="dxa"/>
          </w:tcPr>
          <w:p w14:paraId="711C1DE7"/>
        </w:tc>
        <w:tc>
          <w:tcPr>
            <w:tcW w:w="3475" w:type="dxa"/>
          </w:tcPr>
          <w:p w14:paraId="0579979A">
            <w:pPr>
              <w:pStyle w:val="165"/>
              <w:spacing w:before="0" w:after="0"/>
              <w:jc w:val="left"/>
            </w:pPr>
            <w:r>
              <w:drawing>
                <wp:inline distT="0" distB="0" distL="114300" distR="114300">
                  <wp:extent cx="2206625" cy="1470660"/>
                  <wp:effectExtent l="0" t="0" r="317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2206800" cy="1471200"/>
                          </a:xfrm>
                          <a:prstGeom prst="rect">
                            <a:avLst/>
                          </a:prstGeom>
                        </pic:spPr>
                      </pic:pic>
                    </a:graphicData>
                  </a:graphic>
                </wp:inline>
              </w:drawing>
            </w:r>
          </w:p>
          <w:p w14:paraId="0149EAA6">
            <w:pPr>
              <w:pStyle w:val="186"/>
              <w:spacing w:before="80"/>
            </w:pPr>
            <w:r>
              <w:rPr>
                <w:sz w:val="18"/>
              </w:rPr>
              <w:t>29 de septiembre · Columna 5</w:t>
            </w:r>
          </w:p>
          <w:p w14:paraId="117782F7">
            <w:pPr>
              <w:pStyle w:val="177"/>
              <w:spacing w:after="40" w:line="290" w:lineRule="exact"/>
            </w:pPr>
            <w:r>
              <w:rPr>
                <w:sz w:val="26"/>
              </w:rPr>
              <w:t>Niñez trabajando en las plazas de mercado y semáforos</w:t>
            </w:r>
          </w:p>
          <w:p w14:paraId="0FD1E440">
            <w:pPr>
              <w:pStyle w:val="183"/>
              <w:spacing w:after="60"/>
            </w:pPr>
            <w:r>
              <w:t>Teoría de la Reproducción Social · Pierre Bourdieu y Jean-Claude Passeron</w:t>
            </w:r>
          </w:p>
          <w:p w14:paraId="04FA7655">
            <w:pPr>
              <w:pStyle w:val="187"/>
              <w:jc w:val="left"/>
            </w:pPr>
            <w:r>
              <w:t>Para Bourdieu y Passeron, la escuela tiende a reproducir las desigualdades de capital cultural y a legitimarlas como mérito individual.</w:t>
            </w:r>
          </w:p>
          <w:p w14:paraId="33B1421D">
            <w:pPr>
              <w:pStyle w:val="187"/>
              <w:spacing w:after="0"/>
              <w:jc w:val="left"/>
            </w:pPr>
            <w:r>
              <w:rPr>
                <w:rFonts w:ascii="Newsreader Text Bold" w:hAnsi="Newsreader Text Bold" w:eastAsia="Newsreader Text Bold" w:cs="Newsreader Text Bold"/>
              </w:rPr>
              <w:t>Pregunta guía:</w:t>
            </w:r>
            <w:r>
              <w:t xml:space="preserve"> ¿Cómo se hereda el trabajo infantil y qué papel juega la escuela en romper ese ciclo?</w:t>
            </w:r>
          </w:p>
        </w:tc>
      </w:tr>
    </w:tbl>
    <w:p w14:paraId="6D89701B">
      <w:pPr>
        <w:pStyle w:val="164"/>
      </w:pPr>
    </w:p>
    <w:tbl>
      <w:tblPr>
        <w:tblStyle w:val="12"/>
        <w:tblW w:w="10879" w:type="dxa"/>
        <w:tblInd w:w="0" w:type="dxa"/>
        <w:tblLayout w:type="fixed"/>
        <w:tblCellMar>
          <w:top w:w="0" w:type="dxa"/>
          <w:left w:w="0" w:type="dxa"/>
          <w:bottom w:w="0" w:type="dxa"/>
          <w:right w:w="0" w:type="dxa"/>
        </w:tblCellMar>
      </w:tblPr>
      <w:tblGrid>
        <w:gridCol w:w="6690"/>
        <w:gridCol w:w="227"/>
        <w:gridCol w:w="3963"/>
      </w:tblGrid>
      <w:tr w14:paraId="391EC8C2">
        <w:tblPrEx>
          <w:tblCellMar>
            <w:top w:w="0" w:type="dxa"/>
            <w:left w:w="0" w:type="dxa"/>
            <w:bottom w:w="0" w:type="dxa"/>
            <w:right w:w="0" w:type="dxa"/>
          </w:tblCellMar>
        </w:tblPrEx>
        <w:tc>
          <w:tcPr>
            <w:tcW w:w="6690" w:type="dxa"/>
          </w:tcPr>
          <w:p w14:paraId="6080EC36">
            <w:pPr>
              <w:pStyle w:val="191"/>
              <w:pBdr>
                <w:bottom w:val="single" w:color="1F6FB2" w:sz="12" w:space="2"/>
              </w:pBdr>
              <w:spacing w:before="120"/>
            </w:pPr>
            <w:r>
              <w:t>Cronograma académico</w:t>
            </w:r>
          </w:p>
          <w:tbl>
            <w:tblPr>
              <w:tblStyle w:val="12"/>
              <w:tblW w:w="6690" w:type="dxa"/>
              <w:tblInd w:w="0" w:type="dxa"/>
              <w:tblLayout w:type="fixed"/>
              <w:tblCellMar>
                <w:top w:w="28" w:type="dxa"/>
                <w:left w:w="45" w:type="dxa"/>
                <w:bottom w:w="28" w:type="dxa"/>
                <w:right w:w="45" w:type="dxa"/>
              </w:tblCellMar>
            </w:tblPr>
            <w:tblGrid>
              <w:gridCol w:w="709"/>
              <w:gridCol w:w="992"/>
              <w:gridCol w:w="2721"/>
              <w:gridCol w:w="2268"/>
            </w:tblGrid>
            <w:tr w14:paraId="5CFACB24">
              <w:tblPrEx>
                <w:tblCellMar>
                  <w:top w:w="28" w:type="dxa"/>
                  <w:left w:w="45" w:type="dxa"/>
                  <w:bottom w:w="28" w:type="dxa"/>
                  <w:right w:w="45" w:type="dxa"/>
                </w:tblCellMar>
              </w:tblPrEx>
              <w:tc>
                <w:tcPr>
                  <w:tcW w:w="709" w:type="dxa"/>
                  <w:shd w:val="clear" w:color="auto" w:fill="1F6FB2"/>
                  <w:vAlign w:val="center"/>
                </w:tcPr>
                <w:p w14:paraId="202D9393">
                  <w:pPr>
                    <w:pStyle w:val="200"/>
                  </w:pPr>
                  <w:r>
                    <w:t>Sesión</w:t>
                  </w:r>
                </w:p>
              </w:tc>
              <w:tc>
                <w:tcPr>
                  <w:tcW w:w="992" w:type="dxa"/>
                  <w:shd w:val="clear" w:color="auto" w:fill="1F6FB2"/>
                  <w:vAlign w:val="center"/>
                </w:tcPr>
                <w:p w14:paraId="3C2392EA">
                  <w:pPr>
                    <w:pStyle w:val="200"/>
                  </w:pPr>
                  <w:r>
                    <w:t>Fecha</w:t>
                  </w:r>
                </w:p>
              </w:tc>
              <w:tc>
                <w:tcPr>
                  <w:tcW w:w="2721" w:type="dxa"/>
                  <w:shd w:val="clear" w:color="auto" w:fill="1F6FB2"/>
                  <w:vAlign w:val="center"/>
                </w:tcPr>
                <w:p w14:paraId="72DBD937">
                  <w:pPr>
                    <w:pStyle w:val="200"/>
                  </w:pPr>
                  <w:r>
                    <w:t>Columna y problema social</w:t>
                  </w:r>
                </w:p>
              </w:tc>
              <w:tc>
                <w:tcPr>
                  <w:tcW w:w="2268" w:type="dxa"/>
                  <w:shd w:val="clear" w:color="auto" w:fill="1F6FB2"/>
                  <w:vAlign w:val="center"/>
                </w:tcPr>
                <w:p w14:paraId="19171668">
                  <w:pPr>
                    <w:pStyle w:val="200"/>
                  </w:pPr>
                  <w:r>
                    <w:t>Teoría y autores</w:t>
                  </w:r>
                </w:p>
              </w:tc>
            </w:tr>
            <w:tr w14:paraId="0B9E94EB">
              <w:tblPrEx>
                <w:tblCellMar>
                  <w:top w:w="28" w:type="dxa"/>
                  <w:left w:w="45" w:type="dxa"/>
                  <w:bottom w:w="28" w:type="dxa"/>
                  <w:right w:w="45" w:type="dxa"/>
                </w:tblCellMar>
              </w:tblPrEx>
              <w:tc>
                <w:tcPr>
                  <w:tcW w:w="709" w:type="dxa"/>
                  <w:tcBorders>
                    <w:bottom w:val="single" w:color="A7A3AB" w:sz="4" w:space="0"/>
                  </w:tcBorders>
                  <w:vAlign w:val="center"/>
                </w:tcPr>
                <w:p w14:paraId="420F1D7B">
                  <w:pPr>
                    <w:pStyle w:val="201"/>
                  </w:pPr>
                  <w:r>
                    <w:rPr>
                      <w:rFonts w:ascii="Newsreader Text Bold" w:hAnsi="Newsreader Text Bold" w:eastAsia="Newsreader Text Bold" w:cs="Newsreader Text Bold"/>
                    </w:rPr>
                    <w:t>1</w:t>
                  </w:r>
                </w:p>
              </w:tc>
              <w:tc>
                <w:tcPr>
                  <w:tcW w:w="992" w:type="dxa"/>
                  <w:tcBorders>
                    <w:bottom w:val="single" w:color="A7A3AB" w:sz="4" w:space="0"/>
                  </w:tcBorders>
                  <w:vAlign w:val="center"/>
                </w:tcPr>
                <w:p w14:paraId="7D8781A3">
                  <w:pPr>
                    <w:pStyle w:val="201"/>
                  </w:pPr>
                  <w:r>
                    <w:rPr>
                      <w:rFonts w:ascii="Newsreader Text Bold" w:hAnsi="Newsreader Text Bold" w:eastAsia="Newsreader Text Bold" w:cs="Newsreader Text Bold"/>
                    </w:rPr>
                    <w:t>8/9/2026</w:t>
                  </w:r>
                </w:p>
              </w:tc>
              <w:tc>
                <w:tcPr>
                  <w:tcW w:w="2721" w:type="dxa"/>
                  <w:tcBorders>
                    <w:bottom w:val="single" w:color="A7A3AB" w:sz="4" w:space="0"/>
                  </w:tcBorders>
                  <w:vAlign w:val="center"/>
                </w:tcPr>
                <w:p w14:paraId="2190A2FA">
                  <w:pPr>
                    <w:pStyle w:val="201"/>
                  </w:pPr>
                  <w:r>
                    <w:t>Columna 1: editorial general. Columna 2: análisis teórico-metodológico</w:t>
                  </w:r>
                </w:p>
              </w:tc>
              <w:tc>
                <w:tcPr>
                  <w:tcW w:w="2268" w:type="dxa"/>
                  <w:tcBorders>
                    <w:bottom w:val="single" w:color="A7A3AB" w:sz="4" w:space="0"/>
                  </w:tcBorders>
                  <w:vAlign w:val="center"/>
                </w:tcPr>
                <w:p w14:paraId="18FA3FB3">
                  <w:pPr>
                    <w:pStyle w:val="201"/>
                  </w:pPr>
                  <w:r>
                    <w:t>Lectura base: Francisco M. Suárez (CIDES)</w:t>
                  </w:r>
                </w:p>
              </w:tc>
            </w:tr>
            <w:tr w14:paraId="10450B81">
              <w:tblPrEx>
                <w:tblCellMar>
                  <w:top w:w="28" w:type="dxa"/>
                  <w:left w:w="45" w:type="dxa"/>
                  <w:bottom w:w="28" w:type="dxa"/>
                  <w:right w:w="45" w:type="dxa"/>
                </w:tblCellMar>
              </w:tblPrEx>
              <w:tc>
                <w:tcPr>
                  <w:tcW w:w="709" w:type="dxa"/>
                  <w:tcBorders>
                    <w:bottom w:val="single" w:color="A7A3AB" w:sz="4" w:space="0"/>
                  </w:tcBorders>
                  <w:shd w:val="clear" w:color="auto" w:fill="F4EFE4"/>
                  <w:vAlign w:val="center"/>
                </w:tcPr>
                <w:p w14:paraId="5EA70DEB">
                  <w:pPr>
                    <w:pStyle w:val="201"/>
                  </w:pPr>
                  <w:r>
                    <w:rPr>
                      <w:rFonts w:ascii="Newsreader Text Bold" w:hAnsi="Newsreader Text Bold" w:eastAsia="Newsreader Text Bold" w:cs="Newsreader Text Bold"/>
                    </w:rPr>
                    <w:t>2</w:t>
                  </w:r>
                </w:p>
              </w:tc>
              <w:tc>
                <w:tcPr>
                  <w:tcW w:w="992" w:type="dxa"/>
                  <w:tcBorders>
                    <w:bottom w:val="single" w:color="A7A3AB" w:sz="4" w:space="0"/>
                  </w:tcBorders>
                  <w:shd w:val="clear" w:color="auto" w:fill="F4EFE4"/>
                  <w:vAlign w:val="center"/>
                </w:tcPr>
                <w:p w14:paraId="574D9BFC">
                  <w:pPr>
                    <w:pStyle w:val="201"/>
                  </w:pPr>
                  <w:r>
                    <w:rPr>
                      <w:rFonts w:ascii="Newsreader Text Bold" w:hAnsi="Newsreader Text Bold" w:eastAsia="Newsreader Text Bold" w:cs="Newsreader Text Bold"/>
                    </w:rPr>
                    <w:t>15/9/2026</w:t>
                  </w:r>
                </w:p>
              </w:tc>
              <w:tc>
                <w:tcPr>
                  <w:tcW w:w="2721" w:type="dxa"/>
                  <w:tcBorders>
                    <w:bottom w:val="single" w:color="A7A3AB" w:sz="4" w:space="0"/>
                  </w:tcBorders>
                  <w:shd w:val="clear" w:color="auto" w:fill="F4EFE4"/>
                  <w:vAlign w:val="center"/>
                </w:tcPr>
                <w:p w14:paraId="5D50DD6D">
                  <w:pPr>
                    <w:pStyle w:val="201"/>
                  </w:pPr>
                  <w:r>
                    <w:t>Columna 3: habitantes de calle en corredores urbanos</w:t>
                  </w:r>
                </w:p>
              </w:tc>
              <w:tc>
                <w:tcPr>
                  <w:tcW w:w="2268" w:type="dxa"/>
                  <w:tcBorders>
                    <w:bottom w:val="single" w:color="A7A3AB" w:sz="4" w:space="0"/>
                  </w:tcBorders>
                  <w:shd w:val="clear" w:color="auto" w:fill="F4EFE4"/>
                  <w:vAlign w:val="center"/>
                </w:tcPr>
                <w:p w14:paraId="1FC80B83">
                  <w:pPr>
                    <w:pStyle w:val="201"/>
                  </w:pPr>
                  <w:r>
                    <w:t>Desarrollo Humano: Sen y Nussbaum</w:t>
                  </w:r>
                </w:p>
              </w:tc>
            </w:tr>
            <w:tr w14:paraId="6CA9E33C">
              <w:tblPrEx>
                <w:tblCellMar>
                  <w:top w:w="28" w:type="dxa"/>
                  <w:left w:w="45" w:type="dxa"/>
                  <w:bottom w:w="28" w:type="dxa"/>
                  <w:right w:w="45" w:type="dxa"/>
                </w:tblCellMar>
              </w:tblPrEx>
              <w:tc>
                <w:tcPr>
                  <w:tcW w:w="709" w:type="dxa"/>
                  <w:tcBorders>
                    <w:bottom w:val="single" w:color="A7A3AB" w:sz="4" w:space="0"/>
                  </w:tcBorders>
                  <w:vAlign w:val="center"/>
                </w:tcPr>
                <w:p w14:paraId="52F9E4A4">
                  <w:pPr>
                    <w:pStyle w:val="201"/>
                  </w:pPr>
                  <w:r>
                    <w:rPr>
                      <w:rFonts w:ascii="Newsreader Text Bold" w:hAnsi="Newsreader Text Bold" w:eastAsia="Newsreader Text Bold" w:cs="Newsreader Text Bold"/>
                    </w:rPr>
                    <w:t>3</w:t>
                  </w:r>
                </w:p>
              </w:tc>
              <w:tc>
                <w:tcPr>
                  <w:tcW w:w="992" w:type="dxa"/>
                  <w:tcBorders>
                    <w:bottom w:val="single" w:color="A7A3AB" w:sz="4" w:space="0"/>
                  </w:tcBorders>
                  <w:vAlign w:val="center"/>
                </w:tcPr>
                <w:p w14:paraId="7CDE3275">
                  <w:pPr>
                    <w:pStyle w:val="201"/>
                  </w:pPr>
                  <w:r>
                    <w:rPr>
                      <w:rFonts w:ascii="Newsreader Text Bold" w:hAnsi="Newsreader Text Bold" w:eastAsia="Newsreader Text Bold" w:cs="Newsreader Text Bold"/>
                    </w:rPr>
                    <w:t>22/9/2026</w:t>
                  </w:r>
                </w:p>
              </w:tc>
              <w:tc>
                <w:tcPr>
                  <w:tcW w:w="2721" w:type="dxa"/>
                  <w:tcBorders>
                    <w:bottom w:val="single" w:color="A7A3AB" w:sz="4" w:space="0"/>
                  </w:tcBorders>
                  <w:vAlign w:val="center"/>
                </w:tcPr>
                <w:p w14:paraId="66BCBF98">
                  <w:pPr>
                    <w:pStyle w:val="201"/>
                  </w:pPr>
                  <w:r>
                    <w:t>Columna 4: desplazamiento intraurbano por combos</w:t>
                  </w:r>
                </w:p>
              </w:tc>
              <w:tc>
                <w:tcPr>
                  <w:tcW w:w="2268" w:type="dxa"/>
                  <w:tcBorders>
                    <w:bottom w:val="single" w:color="A7A3AB" w:sz="4" w:space="0"/>
                  </w:tcBorders>
                  <w:vAlign w:val="center"/>
                </w:tcPr>
                <w:p w14:paraId="3C07C511">
                  <w:pPr>
                    <w:pStyle w:val="201"/>
                  </w:pPr>
                  <w:r>
                    <w:t>Desorganización Social: Shaw y McKay</w:t>
                  </w:r>
                </w:p>
              </w:tc>
            </w:tr>
            <w:tr w14:paraId="543430DC">
              <w:tblPrEx>
                <w:tblCellMar>
                  <w:top w:w="28" w:type="dxa"/>
                  <w:left w:w="45" w:type="dxa"/>
                  <w:bottom w:w="28" w:type="dxa"/>
                  <w:right w:w="45" w:type="dxa"/>
                </w:tblCellMar>
              </w:tblPrEx>
              <w:tc>
                <w:tcPr>
                  <w:tcW w:w="709" w:type="dxa"/>
                  <w:tcBorders>
                    <w:bottom w:val="single" w:color="A7A3AB" w:sz="4" w:space="0"/>
                  </w:tcBorders>
                  <w:shd w:val="clear" w:color="auto" w:fill="F4EFE4"/>
                  <w:vAlign w:val="center"/>
                </w:tcPr>
                <w:p w14:paraId="44FC7AC4">
                  <w:pPr>
                    <w:pStyle w:val="201"/>
                  </w:pPr>
                  <w:r>
                    <w:rPr>
                      <w:rFonts w:ascii="Newsreader Text Bold" w:hAnsi="Newsreader Text Bold" w:eastAsia="Newsreader Text Bold" w:cs="Newsreader Text Bold"/>
                    </w:rPr>
                    <w:t>4</w:t>
                  </w:r>
                </w:p>
              </w:tc>
              <w:tc>
                <w:tcPr>
                  <w:tcW w:w="992" w:type="dxa"/>
                  <w:tcBorders>
                    <w:bottom w:val="single" w:color="A7A3AB" w:sz="4" w:space="0"/>
                  </w:tcBorders>
                  <w:shd w:val="clear" w:color="auto" w:fill="F4EFE4"/>
                  <w:vAlign w:val="center"/>
                </w:tcPr>
                <w:p w14:paraId="02CE9B2F">
                  <w:pPr>
                    <w:pStyle w:val="201"/>
                  </w:pPr>
                  <w:r>
                    <w:rPr>
                      <w:rFonts w:ascii="Newsreader Text Bold" w:hAnsi="Newsreader Text Bold" w:eastAsia="Newsreader Text Bold" w:cs="Newsreader Text Bold"/>
                    </w:rPr>
                    <w:t>29/9/2026</w:t>
                  </w:r>
                </w:p>
              </w:tc>
              <w:tc>
                <w:tcPr>
                  <w:tcW w:w="2721" w:type="dxa"/>
                  <w:tcBorders>
                    <w:bottom w:val="single" w:color="A7A3AB" w:sz="4" w:space="0"/>
                  </w:tcBorders>
                  <w:shd w:val="clear" w:color="auto" w:fill="F4EFE4"/>
                  <w:vAlign w:val="center"/>
                </w:tcPr>
                <w:p w14:paraId="3EBB15E1">
                  <w:pPr>
                    <w:pStyle w:val="201"/>
                  </w:pPr>
                  <w:r>
                    <w:t>Columna 5: niñez trabajando en plazas y semáforos</w:t>
                  </w:r>
                </w:p>
              </w:tc>
              <w:tc>
                <w:tcPr>
                  <w:tcW w:w="2268" w:type="dxa"/>
                  <w:tcBorders>
                    <w:bottom w:val="single" w:color="A7A3AB" w:sz="4" w:space="0"/>
                  </w:tcBorders>
                  <w:shd w:val="clear" w:color="auto" w:fill="F4EFE4"/>
                  <w:vAlign w:val="center"/>
                </w:tcPr>
                <w:p w14:paraId="080F70A1">
                  <w:pPr>
                    <w:pStyle w:val="201"/>
                  </w:pPr>
                  <w:r>
                    <w:t>Reproducción Social: Bourdieu y Passeron</w:t>
                  </w:r>
                </w:p>
              </w:tc>
            </w:tr>
            <w:tr w14:paraId="3E701559">
              <w:tblPrEx>
                <w:tblCellMar>
                  <w:top w:w="28" w:type="dxa"/>
                  <w:left w:w="45" w:type="dxa"/>
                  <w:bottom w:w="28" w:type="dxa"/>
                  <w:right w:w="45" w:type="dxa"/>
                </w:tblCellMar>
              </w:tblPrEx>
              <w:tc>
                <w:tcPr>
                  <w:tcW w:w="709" w:type="dxa"/>
                  <w:tcBorders>
                    <w:bottom w:val="single" w:color="A7A3AB" w:sz="4" w:space="0"/>
                  </w:tcBorders>
                  <w:vAlign w:val="center"/>
                </w:tcPr>
                <w:p w14:paraId="7489E58A">
                  <w:pPr>
                    <w:pStyle w:val="201"/>
                  </w:pPr>
                  <w:r>
                    <w:rPr>
                      <w:rFonts w:ascii="Newsreader Text Bold" w:hAnsi="Newsreader Text Bold" w:eastAsia="Newsreader Text Bold" w:cs="Newsreader Text Bold"/>
                    </w:rPr>
                    <w:t>5</w:t>
                  </w:r>
                </w:p>
              </w:tc>
              <w:tc>
                <w:tcPr>
                  <w:tcW w:w="992" w:type="dxa"/>
                  <w:tcBorders>
                    <w:bottom w:val="single" w:color="A7A3AB" w:sz="4" w:space="0"/>
                  </w:tcBorders>
                  <w:vAlign w:val="center"/>
                </w:tcPr>
                <w:p w14:paraId="2FDCF989">
                  <w:pPr>
                    <w:pStyle w:val="201"/>
                  </w:pPr>
                  <w:r>
                    <w:rPr>
                      <w:rFonts w:ascii="Newsreader Text Bold" w:hAnsi="Newsreader Text Bold" w:eastAsia="Newsreader Text Bold" w:cs="Newsreader Text Bold"/>
                    </w:rPr>
                    <w:t>6/10/2026</w:t>
                  </w:r>
                </w:p>
              </w:tc>
              <w:tc>
                <w:tcPr>
                  <w:tcW w:w="2721" w:type="dxa"/>
                  <w:tcBorders>
                    <w:bottom w:val="single" w:color="A7A3AB" w:sz="4" w:space="0"/>
                  </w:tcBorders>
                  <w:vAlign w:val="center"/>
                </w:tcPr>
                <w:p w14:paraId="6121E92D">
                  <w:pPr>
                    <w:pStyle w:val="201"/>
                  </w:pPr>
                  <w:r>
                    <w:t>Sustentación</w:t>
                  </w:r>
                </w:p>
              </w:tc>
              <w:tc>
                <w:tcPr>
                  <w:tcW w:w="2268" w:type="dxa"/>
                  <w:tcBorders>
                    <w:bottom w:val="single" w:color="A7A3AB" w:sz="4" w:space="0"/>
                  </w:tcBorders>
                  <w:vAlign w:val="center"/>
                </w:tcPr>
                <w:p w14:paraId="50B5EB7F">
                  <w:pPr>
                    <w:pStyle w:val="201"/>
                  </w:pPr>
                  <w:r>
                    <w:t>—</w:t>
                  </w:r>
                </w:p>
              </w:tc>
            </w:tr>
          </w:tbl>
          <w:p w14:paraId="6DD0CE99">
            <w:pPr>
              <w:pStyle w:val="164"/>
            </w:pPr>
          </w:p>
        </w:tc>
        <w:tc>
          <w:tcPr>
            <w:tcW w:w="227" w:type="dxa"/>
          </w:tcPr>
          <w:p w14:paraId="387DB151"/>
        </w:tc>
        <w:tc>
          <w:tcPr>
            <w:tcW w:w="3963" w:type="dxa"/>
            <w:vAlign w:val="bottom"/>
          </w:tcPr>
          <w:tbl>
            <w:tblPr>
              <w:tblStyle w:val="12"/>
              <w:tblW w:w="3963" w:type="dxa"/>
              <w:tblInd w:w="0" w:type="dxa"/>
              <w:tblLayout w:type="fixed"/>
              <w:tblCellMar>
                <w:top w:w="113" w:type="dxa"/>
                <w:left w:w="170" w:type="dxa"/>
                <w:bottom w:w="85" w:type="dxa"/>
                <w:right w:w="170" w:type="dxa"/>
              </w:tblCellMar>
            </w:tblPr>
            <w:tblGrid>
              <w:gridCol w:w="3963"/>
            </w:tblGrid>
            <w:tr w14:paraId="46427273">
              <w:tblPrEx>
                <w:tblCellMar>
                  <w:top w:w="113" w:type="dxa"/>
                  <w:left w:w="170" w:type="dxa"/>
                  <w:bottom w:w="85" w:type="dxa"/>
                  <w:right w:w="170" w:type="dxa"/>
                </w:tblCellMar>
              </w:tblPrEx>
              <w:tc>
                <w:tcPr>
                  <w:tcW w:w="3963" w:type="dxa"/>
                  <w:tcBorders>
                    <w:top w:val="single" w:color="1F6FB2" w:sz="24" w:space="0"/>
                  </w:tcBorders>
                  <w:shd w:val="clear" w:color="auto" w:fill="F4EFE4"/>
                </w:tcPr>
                <w:p w14:paraId="72D0A65E">
                  <w:pPr>
                    <w:pStyle w:val="191"/>
                  </w:pPr>
                  <w:r>
                    <w:t>Cartas a la redacción</w:t>
                  </w:r>
                </w:p>
                <w:p w14:paraId="28F78189">
                  <w:pPr>
                    <w:pStyle w:val="192"/>
                  </w:pPr>
                  <w:r>
                    <w:t>¿Conoces un programa social que llegó tarde, llegó mal o nunca llegó? Escríbenos: la próxima cuestión puede salir de tu barrio.</w:t>
                  </w:r>
                </w:p>
                <w:p w14:paraId="74CC21FB">
                  <w:pPr>
                    <w:pStyle w:val="192"/>
                  </w:pPr>
                  <w:r>
                    <w:rPr>
                      <w:rFonts w:ascii="Newsreader Text Bold" w:hAnsi="Newsreader Text Bold" w:eastAsia="Newsreader Text Bold" w:cs="Newsreader Text Bold"/>
                    </w:rPr>
                    <w:t>Correo:</w:t>
                  </w:r>
                  <w:r>
                    <w:t xml:space="preserve"> [correo del grupo]</w:t>
                  </w:r>
                </w:p>
                <w:p w14:paraId="27ECD3B2">
                  <w:pPr>
                    <w:pStyle w:val="192"/>
                    <w:pBdr>
                      <w:top w:val="single" w:color="A7A3AB" w:sz="4" w:space="4"/>
                    </w:pBdr>
                    <w:spacing w:before="60" w:after="0"/>
                  </w:pPr>
                  <w:r>
                    <w:rPr>
                      <w:rFonts w:ascii="Newsreader Text Bold" w:hAnsi="Newsreader Text Bold" w:eastAsia="Newsreader Text Bold" w:cs="Newsreader Text Bold"/>
                    </w:rPr>
                    <w:t>Cómo citar:</w:t>
                  </w:r>
                  <w:r>
                    <w:t xml:space="preserve"> Mesa de redacción. (2026, 8 de septiembre). </w:t>
                  </w:r>
                  <w:r>
                    <w:rPr>
                      <w:rFonts w:ascii="Newsreader Text Italic" w:hAnsi="Newsreader Text Italic" w:eastAsia="Newsreader Text Italic" w:cs="Newsreader Text Italic"/>
                    </w:rPr>
                    <w:t>LA CUESTIÓN</w:t>
                  </w:r>
                  <w:r>
                    <w:t>, (1). Curso Problemas sociales contemporáneos.</w:t>
                  </w:r>
                </w:p>
              </w:tc>
            </w:tr>
          </w:tbl>
          <w:p w14:paraId="65F52DFF">
            <w:pPr>
              <w:pStyle w:val="164"/>
            </w:pPr>
          </w:p>
        </w:tc>
      </w:tr>
    </w:tbl>
    <w:p w14:paraId="3147A916">
      <w:pPr>
        <w:pStyle w:val="191"/>
        <w:pBdr>
          <w:bottom w:val="single" w:color="1F6FB2" w:sz="12" w:space="2"/>
        </w:pBdr>
        <w:spacing w:before="120"/>
      </w:pPr>
      <w:r>
        <w:t>Referencias</w:t>
      </w:r>
    </w:p>
    <w:tbl>
      <w:tblPr>
        <w:tblStyle w:val="12"/>
        <w:tblW w:w="10879" w:type="dxa"/>
        <w:tblInd w:w="0" w:type="dxa"/>
        <w:tblLayout w:type="fixed"/>
        <w:tblCellMar>
          <w:top w:w="0" w:type="dxa"/>
          <w:left w:w="0" w:type="dxa"/>
          <w:bottom w:w="0" w:type="dxa"/>
          <w:right w:w="0" w:type="dxa"/>
        </w:tblCellMar>
      </w:tblPr>
      <w:tblGrid>
        <w:gridCol w:w="5440"/>
        <w:gridCol w:w="5440"/>
      </w:tblGrid>
      <w:tr w14:paraId="405611A9">
        <w:tblPrEx>
          <w:tblCellMar>
            <w:top w:w="0" w:type="dxa"/>
            <w:left w:w="0" w:type="dxa"/>
            <w:bottom w:w="0" w:type="dxa"/>
            <w:right w:w="0" w:type="dxa"/>
          </w:tblCellMar>
        </w:tblPrEx>
        <w:tc>
          <w:tcPr>
            <w:tcW w:w="5440" w:type="dxa"/>
            <w:tcMar>
              <w:left w:w="0" w:type="dxa"/>
              <w:right w:w="128" w:type="dxa"/>
            </w:tcMar>
          </w:tcPr>
          <w:p w14:paraId="6ACF9BCE">
            <w:pPr>
              <w:pStyle w:val="195"/>
            </w:pPr>
            <w:r>
              <w:t xml:space="preserve">Bourdieu, P., y Passeron, J.-C. (1970). </w:t>
            </w:r>
            <w:r>
              <w:rPr>
                <w:rFonts w:ascii="Newsreader Text Italic" w:hAnsi="Newsreader Text Italic" w:eastAsia="Newsreader Text Italic" w:cs="Newsreader Text Italic"/>
              </w:rPr>
              <w:t>La reproduction: Éléments pour une théorie du système d’enseignement</w:t>
            </w:r>
            <w:r>
              <w:t>. Les Éditions de Minuit.</w:t>
            </w:r>
          </w:p>
          <w:p w14:paraId="1955150D">
            <w:pPr>
              <w:pStyle w:val="195"/>
            </w:pPr>
            <w:r>
              <w:t xml:space="preserve">Departamento Administrativo Nacional de Estadística [DANE]. (2026, 12 de junio). </w:t>
            </w:r>
            <w:r>
              <w:rPr>
                <w:rFonts w:ascii="Newsreader Text Italic" w:hAnsi="Newsreader Text Italic" w:eastAsia="Newsreader Text Italic" w:cs="Newsreader Text Italic"/>
              </w:rPr>
              <w:t>Pobreza monetaria en Colombia. Año 2025</w:t>
            </w:r>
            <w:r>
              <w:t xml:space="preserve"> [Boletín técnico]. https://www.dane.gov.co/files/operaciones/PM/bol-PM-2025.pdf</w:t>
            </w:r>
          </w:p>
          <w:p w14:paraId="7AF190BC">
            <w:pPr>
              <w:pStyle w:val="195"/>
            </w:pPr>
            <w:r>
              <w:t xml:space="preserve">Departamento Nacional de Planeación [DNP]. (2016). </w:t>
            </w:r>
            <w:r>
              <w:rPr>
                <w:rFonts w:ascii="Newsreader Text Italic" w:hAnsi="Newsreader Text Italic" w:eastAsia="Newsreader Text Italic" w:cs="Newsreader Text Italic"/>
              </w:rPr>
              <w:t>Documento CONPES 3877: Declaración de importancia estratégica del Sistema de Identificación de Potenciales Beneficiarios (Sisbén IV)</w:t>
            </w:r>
            <w:r>
              <w:t>. https://colaboracion.dnp.gov.co/CDT/Conpes/Económicos/3877.pdf</w:t>
            </w:r>
          </w:p>
        </w:tc>
        <w:tc>
          <w:tcPr>
            <w:tcW w:w="5440" w:type="dxa"/>
            <w:tcMar>
              <w:left w:w="128" w:type="dxa"/>
              <w:right w:w="0" w:type="dxa"/>
            </w:tcMar>
          </w:tcPr>
          <w:p w14:paraId="24008262">
            <w:pPr>
              <w:pStyle w:val="195"/>
            </w:pPr>
            <w:r>
              <w:t xml:space="preserve">El Tiempo. (2026, 28 de agosto). Reprograman pagos de Renta Ciudadana y Devolución del IVA en septiembre de 2026 por revisión técnica del RUI. </w:t>
            </w:r>
            <w:r>
              <w:rPr>
                <w:rFonts w:ascii="Newsreader Text Italic" w:hAnsi="Newsreader Text Italic" w:eastAsia="Newsreader Text Italic" w:cs="Newsreader Text Italic"/>
              </w:rPr>
              <w:t>El Tiempo</w:t>
            </w:r>
            <w:r>
              <w:t>. https://www.eltiempo.com/economia/finanzas-personales/reprograman-pagos-de-renta-ciudadana-y-devolucion-del-iva-en-septiembre-de-2026-por-revision-tecnica-del-rui-razones-fechas-y-todo-lo-que-debe-saber-3581738</w:t>
            </w:r>
          </w:p>
          <w:p w14:paraId="7C0D8337">
            <w:pPr>
              <w:pStyle w:val="195"/>
            </w:pPr>
            <w:r>
              <w:t xml:space="preserve">Nussbaum, M. C. (2012). </w:t>
            </w:r>
            <w:r>
              <w:rPr>
                <w:rFonts w:ascii="Newsreader Text Italic" w:hAnsi="Newsreader Text Italic" w:eastAsia="Newsreader Text Italic" w:cs="Newsreader Text Italic"/>
              </w:rPr>
              <w:t>Crear capacidades: Propuesta para el desarrollo humano</w:t>
            </w:r>
            <w:r>
              <w:t>. Paidós.</w:t>
            </w:r>
          </w:p>
          <w:p w14:paraId="3572073B">
            <w:pPr>
              <w:pStyle w:val="195"/>
            </w:pPr>
            <w:r>
              <w:t xml:space="preserve">Sen, A. (2000). </w:t>
            </w:r>
            <w:r>
              <w:rPr>
                <w:rFonts w:ascii="Newsreader Text Italic" w:hAnsi="Newsreader Text Italic" w:eastAsia="Newsreader Text Italic" w:cs="Newsreader Text Italic"/>
              </w:rPr>
              <w:t>Desarrollo y libertad</w:t>
            </w:r>
            <w:r>
              <w:t>. Planeta.</w:t>
            </w:r>
          </w:p>
          <w:p w14:paraId="49FE3FC8">
            <w:pPr>
              <w:pStyle w:val="195"/>
            </w:pPr>
            <w:r>
              <w:t xml:space="preserve">Shaw, C. R., y McKay, H. D. (1942). </w:t>
            </w:r>
            <w:r>
              <w:rPr>
                <w:rFonts w:ascii="Newsreader Text Italic" w:hAnsi="Newsreader Text Italic" w:eastAsia="Newsreader Text Italic" w:cs="Newsreader Text Italic"/>
              </w:rPr>
              <w:t>Juvenile delinquency and urban areas</w:t>
            </w:r>
            <w:r>
              <w:t>. University of Chicago Press.</w:t>
            </w:r>
          </w:p>
          <w:p w14:paraId="053A17AF">
            <w:pPr>
              <w:pStyle w:val="195"/>
            </w:pPr>
            <w:r>
              <w:t xml:space="preserve">Suárez, F. M. (1989). </w:t>
            </w:r>
            <w:r>
              <w:rPr>
                <w:rFonts w:ascii="Newsreader Text Italic" w:hAnsi="Newsreader Text Italic" w:eastAsia="Newsreader Text Italic" w:cs="Newsreader Text Italic"/>
              </w:rPr>
              <w:t>Problemas sociales y problemas de programas sociales masivos</w:t>
            </w:r>
            <w:r>
              <w:t>. Centro Interamericano para el Desarrollo Social (CIDES); CEPAL. https://repositorio.cepal.org/handle/11362/33446</w:t>
            </w:r>
          </w:p>
        </w:tc>
      </w:tr>
    </w:tbl>
    <w:p w14:paraId="54BC6587">
      <w:pPr>
        <w:pStyle w:val="204"/>
        <w:spacing w:before="120"/>
        <w:jc w:val="center"/>
      </w:pPr>
      <w:r>
        <w:t>Todas las ilustraciones y la tira cómica de esta edición son originales de la mesa de redacción. Tipografías libres (SIL Open Font License): Newsreader y Oswald.</w:t>
      </w:r>
    </w:p>
    <w:sectPr>
      <w:pgSz w:w="12240" w:h="15840"/>
      <w:pgMar w:top="964" w:right="680" w:bottom="737" w:left="680" w:header="397" w:footer="31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A541604E-4F81-46F7-88F6-A2176E4E1F73}"/>
  </w:font>
  <w:font w:name="Courier New">
    <w:panose1 w:val="02070309020205020404"/>
    <w:charset w:val="00"/>
    <w:family w:val="modern"/>
    <w:pitch w:val="default"/>
    <w:sig w:usb0="E0002EFF" w:usb1="C0007843" w:usb2="00000009" w:usb3="00000000" w:csb0="400001FF" w:csb1="FFFF0000"/>
    <w:embedRegular r:id="rId2" w:fontKey="{A8F5A66F-CEE9-42FF-BD13-2429F3DF5E45}"/>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3" w:fontKey="{AD3A1E11-82F2-4947-AB96-871EEE595ED3}"/>
  </w:font>
  <w:font w:name="Calibri">
    <w:panose1 w:val="020F0502020204030204"/>
    <w:charset w:val="00"/>
    <w:family w:val="swiss"/>
    <w:pitch w:val="default"/>
    <w:sig w:usb0="E4002EFF" w:usb1="C200247B" w:usb2="00000009" w:usb3="00000000" w:csb0="200001FF" w:csb1="00000000"/>
    <w:embedRegular r:id="rId4" w:fontKey="{130FFD94-5F2D-4B08-8954-D99B7DF3F0D7}"/>
  </w:font>
  <w:font w:name="Newsreader Text">
    <w:panose1 w:val="02000000000000000000"/>
    <w:charset w:val="86"/>
    <w:family w:val="roman"/>
    <w:pitch w:val="default"/>
    <w:sig w:usb0="00000047" w:usb1="00000001" w:usb2="00000000" w:usb3="00000000" w:csb0="20000193" w:csb1="00000000"/>
    <w:embedRegular r:id="rId5" w:fontKey="{B59FB8AC-FC71-43B0-91AB-4BD83A42696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embedRegular r:id="rId6" w:fontKey="{85121CF0-4D47-437D-8CDC-2631E28D2462}"/>
  </w:font>
  <w:font w:name="Courier">
    <w:altName w:val="Courier New"/>
    <w:panose1 w:val="02000500000000000000"/>
    <w:charset w:val="00"/>
    <w:family w:val="auto"/>
    <w:pitch w:val="default"/>
    <w:sig w:usb0="00000000" w:usb1="00000000" w:usb2="00000000" w:usb3="00000000" w:csb0="00000001" w:csb1="00000000"/>
  </w:font>
  <w:font w:name="Newsreader Display ExtraBold">
    <w:panose1 w:val="02000000000000000000"/>
    <w:charset w:val="00"/>
    <w:family w:val="roman"/>
    <w:pitch w:val="default"/>
    <w:sig w:usb0="00000047" w:usb1="00000001" w:usb2="00000000" w:usb3="00000000" w:csb0="20000193" w:csb1="00000000"/>
    <w:embedRegular r:id="rId7" w:fontKey="{9865E18B-C225-47BD-9791-6858553E3E90}"/>
  </w:font>
  <w:font w:name="Oswald">
    <w:panose1 w:val="02000503000000000000"/>
    <w:charset w:val="00"/>
    <w:family w:val="swiss"/>
    <w:pitch w:val="default"/>
    <w:sig w:usb0="A000006F" w:usb1="4000004B" w:usb2="00000000" w:usb3="00000000" w:csb0="00000093" w:csb1="00000000"/>
    <w:embedRegular r:id="rId8" w:fontKey="{F61112ED-D785-4CDE-A7F3-0233E7A344A1}"/>
  </w:font>
  <w:font w:name="Newsreader Display">
    <w:panose1 w:val="02000000000000000000"/>
    <w:charset w:val="00"/>
    <w:family w:val="roman"/>
    <w:pitch w:val="default"/>
    <w:sig w:usb0="00000047" w:usb1="00000001" w:usb2="00000000" w:usb3="00000000" w:csb0="20000193" w:csb1="00000000"/>
    <w:embedRegular r:id="rId9" w:fontKey="{CE8A677F-250A-4151-96AA-414AB1972110}"/>
  </w:font>
  <w:font w:name="Newsreader Text Bold">
    <w:panose1 w:val="02000000000000000000"/>
    <w:charset w:val="00"/>
    <w:family w:val="roman"/>
    <w:pitch w:val="default"/>
    <w:sig w:usb0="00000047" w:usb1="00000001" w:usb2="00000000" w:usb3="00000000" w:csb0="20000193" w:csb1="00000000"/>
    <w:embedRegular r:id="rId10" w:fontKey="{5AA76379-DCE9-453A-A012-851461A99AE1}"/>
  </w:font>
  <w:font w:name="Newsreader Display Bold">
    <w:panose1 w:val="02000000000000000000"/>
    <w:charset w:val="00"/>
    <w:family w:val="roman"/>
    <w:pitch w:val="default"/>
    <w:sig w:usb0="00000047" w:usb1="00000001" w:usb2="00000000" w:usb3="00000000" w:csb0="20000193" w:csb1="00000000"/>
    <w:embedRegular r:id="rId11" w:fontKey="{A63F840B-A0E9-4C75-A19C-660A61D344D9}"/>
  </w:font>
  <w:font w:name="Oswald Bold">
    <w:panose1 w:val="00000000000000000000"/>
    <w:charset w:val="00"/>
    <w:family w:val="swiss"/>
    <w:pitch w:val="default"/>
    <w:sig w:usb0="A00002FF" w:usb1="4000204B" w:usb2="00000000" w:usb3="00000000" w:csb0="20000197" w:csb1="00000000"/>
    <w:embedRegular r:id="rId12" w:fontKey="{013CCC92-8057-49C9-95C2-46A2B285D24A}"/>
  </w:font>
  <w:font w:name="Newsreader Text Italic">
    <w:panose1 w:val="02000000000000000000"/>
    <w:charset w:val="00"/>
    <w:family w:val="roman"/>
    <w:pitch w:val="default"/>
    <w:sig w:usb0="00000047" w:usb1="00000001" w:usb2="00000000" w:usb3="00000000" w:csb0="20000193" w:csb1="00000000"/>
    <w:embedRegular r:id="rId13" w:fontKey="{20D55CEE-90C7-48C8-A081-176721F5C240}"/>
  </w:font>
  <w:font w:name="Newsreader Display Italic">
    <w:panose1 w:val="02000000000000000000"/>
    <w:charset w:val="00"/>
    <w:family w:val="roman"/>
    <w:pitch w:val="default"/>
    <w:sig w:usb0="00000047" w:usb1="00000001" w:usb2="00000000" w:usb3="00000000" w:csb0="20000193" w:csb1="00000000"/>
    <w:embedRegular r:id="rId14" w:fontKey="{1E6C7159-AD36-40A9-AFFA-00D16453E6B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A84B9">
    <w:pPr>
      <w:pStyle w:val="31"/>
    </w:pPr>
  </w:p>
  <w:p w14:paraId="503ED369">
    <w:pPr>
      <w:pStyle w:val="204"/>
      <w:pBdr>
        <w:top w:val="single" w:color="A7A3AB" w:sz="4" w:space="3"/>
      </w:pBdr>
      <w:jc w:val="center"/>
    </w:pPr>
    <w:r>
      <w:t>LA CUESTIÓN · Actividad 1 · Problemas sociales contemporáneos · Docente: Allison Paola Escobar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B74CE">
    <w:pPr>
      <w:pStyle w:val="31"/>
    </w:pPr>
  </w:p>
  <w:p w14:paraId="65010A4F">
    <w:pPr>
      <w:pStyle w:val="204"/>
      <w:pBdr>
        <w:top w:val="single" w:color="A7A3AB" w:sz="4" w:space="3"/>
      </w:pBdr>
      <w:jc w:val="center"/>
    </w:pPr>
    <w:r>
      <w:t>LA CUESTIÓN · Actividad 1 · Problemas sociales contemporáneos · Docente: Allison Paola Escobar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AD9F8">
    <w:pPr>
      <w:pStyle w:val="31"/>
    </w:pPr>
  </w:p>
  <w:p w14:paraId="63EC17DD">
    <w:pPr>
      <w:pStyle w:val="204"/>
      <w:pBdr>
        <w:top w:val="single" w:color="A7A3AB" w:sz="4" w:space="3"/>
      </w:pBdr>
      <w:jc w:val="center"/>
    </w:pPr>
    <w:r>
      <w:t>LA CUESTIÓN · Actividad 1 · Problemas sociales contemporáneos · Docente: Allison Paola Escobar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05351">
    <w:pPr>
      <w:pStyle w:val="23"/>
    </w:pPr>
  </w:p>
  <w:p w14:paraId="624F24D6">
    <w:pPr>
      <w:pStyle w:val="203"/>
      <w:pBdr>
        <w:bottom w:val="single" w:color="1E1C22" w:sz="6" w:space="3"/>
      </w:pBdr>
      <w:tabs>
        <w:tab w:val="center" w:pos="5440"/>
        <w:tab w:val="right" w:pos="10879"/>
      </w:tabs>
    </w:pPr>
    <w:r>
      <w:rPr>
        <w:rFonts w:ascii="Newsreader Display ExtraBold" w:hAnsi="Newsreader Display ExtraBold" w:eastAsia="Newsreader Display ExtraBold" w:cs="Newsreader Display ExtraBold"/>
        <w:sz w:val="20"/>
      </w:rPr>
      <w:t>LA CUESTIÓN</w:t>
    </w:r>
    <w:r>
      <w:rPr>
        <w:color w:val="6E6A72"/>
      </w:rPr>
      <w:t xml:space="preserve">   Martes 8 de septiembre de 2026</w:t>
    </w:r>
    <w:r>
      <w:rPr>
        <w:color w:val="6E6A72"/>
      </w:rPr>
      <w:tab/>
    </w:r>
    <w:r>
      <w:rPr>
        <w:color w:val="6E6A72"/>
      </w:rPr>
      <w:t>Periódico de análisis social</w:t>
    </w:r>
    <w:r>
      <w:tab/>
    </w:r>
    <w:r>
      <w:fldChar w:fldCharType="begin"/>
    </w:r>
    <w:r>
      <w:instrText xml:space="preserve"> PAGE </w:instrText>
    </w:r>
    <w:r>
      <w:fldChar w:fldCharType="separate"/>
    </w:r>
    <w:r>
      <w:rPr>
        <w:rFonts w:ascii="Oswald Bold" w:hAnsi="Oswald Bold" w:eastAsia="Oswald Bold" w:cs="Oswald Bold"/>
        <w:sz w:val="20"/>
      </w:rPr>
      <w:t>1</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BF558">
    <w:pPr>
      <w:pStyle w:val="23"/>
    </w:pPr>
  </w:p>
  <w:p w14:paraId="28A53DF6">
    <w:pPr>
      <w:pStyle w:val="203"/>
      <w:pBdr>
        <w:bottom w:val="single" w:color="1E1C22" w:sz="6" w:space="3"/>
      </w:pBdr>
      <w:tabs>
        <w:tab w:val="center" w:pos="7240"/>
        <w:tab w:val="right" w:pos="14479"/>
      </w:tabs>
    </w:pPr>
    <w:r>
      <w:rPr>
        <w:rFonts w:ascii="Newsreader Display ExtraBold" w:hAnsi="Newsreader Display ExtraBold" w:eastAsia="Newsreader Display ExtraBold" w:cs="Newsreader Display ExtraBold"/>
        <w:sz w:val="20"/>
      </w:rPr>
      <w:t>LA CUESTIÓN</w:t>
    </w:r>
    <w:r>
      <w:rPr>
        <w:color w:val="6E6A72"/>
      </w:rPr>
      <w:t xml:space="preserve">   Martes 8 de septiembre de 2026</w:t>
    </w:r>
    <w:r>
      <w:rPr>
        <w:color w:val="6E6A72"/>
      </w:rPr>
      <w:tab/>
    </w:r>
    <w:r>
      <w:rPr>
        <w:color w:val="6E6A72"/>
      </w:rPr>
      <w:t>Periódico de análisis social</w:t>
    </w:r>
    <w:r>
      <w:tab/>
    </w:r>
    <w:r>
      <w:fldChar w:fldCharType="begin"/>
    </w:r>
    <w:r>
      <w:instrText xml:space="preserve"> PAGE </w:instrText>
    </w:r>
    <w:r>
      <w:fldChar w:fldCharType="separate"/>
    </w:r>
    <w:r>
      <w:rPr>
        <w:rFonts w:ascii="Oswald Bold" w:hAnsi="Oswald Bold" w:eastAsia="Oswald Bold" w:cs="Oswald Bold"/>
        <w:sz w:val="20"/>
      </w:rPr>
      <w:t>1</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0C154">
    <w:pPr>
      <w:pStyle w:val="23"/>
    </w:pPr>
  </w:p>
  <w:p w14:paraId="3E46B523">
    <w:pPr>
      <w:pStyle w:val="203"/>
      <w:pBdr>
        <w:bottom w:val="single" w:color="1E1C22" w:sz="6" w:space="3"/>
      </w:pBdr>
      <w:tabs>
        <w:tab w:val="center" w:pos="5440"/>
        <w:tab w:val="right" w:pos="10879"/>
      </w:tabs>
    </w:pPr>
    <w:r>
      <w:rPr>
        <w:rFonts w:ascii="Newsreader Display ExtraBold" w:hAnsi="Newsreader Display ExtraBold" w:eastAsia="Newsreader Display ExtraBold" w:cs="Newsreader Display ExtraBold"/>
        <w:sz w:val="20"/>
      </w:rPr>
      <w:t>LA CUESTIÓN</w:t>
    </w:r>
    <w:r>
      <w:rPr>
        <w:color w:val="6E6A72"/>
      </w:rPr>
      <w:t xml:space="preserve">   Martes 8 de septiembre de 2026</w:t>
    </w:r>
    <w:r>
      <w:rPr>
        <w:color w:val="6E6A72"/>
      </w:rPr>
      <w:tab/>
    </w:r>
    <w:r>
      <w:rPr>
        <w:color w:val="6E6A72"/>
      </w:rPr>
      <w:t>Periódico de análisis social</w:t>
    </w:r>
    <w:r>
      <w:tab/>
    </w:r>
    <w:r>
      <w:fldChar w:fldCharType="begin"/>
    </w:r>
    <w:r>
      <w:instrText xml:space="preserve"> PAGE </w:instrText>
    </w:r>
    <w:r>
      <w:fldChar w:fldCharType="separate"/>
    </w:r>
    <w:r>
      <w:rPr>
        <w:rFonts w:ascii="Oswald Bold" w:hAnsi="Oswald Bold" w:eastAsia="Oswald Bold" w:cs="Oswald Bold"/>
        <w:sz w:val="20"/>
      </w:rPr>
      <w:t>1</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documentProtection w:enforcement="0"/>
  <w:defaultTabStop w:val="720"/>
  <w:autoHyphenation/>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36126E"/>
    <w:rsid w:val="59E22D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Newsreader Text" w:hAnsi="Newsreader Text" w:eastAsia="Newsreader Text" w:cs="Newsreader Text"/>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Newsreader Text" w:hAnsi="Newsreader Text" w:eastAsia="Newsreader Text" w:cs="Newsreader Text"/>
      <w:sz w:val="18"/>
      <w:szCs w:val="22"/>
      <w:lang w:val="es-CO" w:eastAsia="es-CO"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qFormat/>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Newsreader Text" w:cs="Newsreader Text"/>
      <w:sz w:val="20"/>
      <w:szCs w:val="20"/>
      <w:lang w:val="es-CO" w:eastAsia="es-CO" w:bidi="ar-SA"/>
    </w:rPr>
  </w:style>
  <w:style w:type="paragraph" w:styleId="18">
    <w:name w:val="List Continue 3"/>
    <w:basedOn w:val="1"/>
    <w:unhideWhenUsed/>
    <w:qFormat/>
    <w:uiPriority w:val="99"/>
    <w:pPr>
      <w:spacing w:after="120"/>
      <w:ind w:left="1080"/>
      <w:contextualSpacing/>
    </w:pPr>
  </w:style>
  <w:style w:type="paragraph" w:styleId="19">
    <w:name w:val="List Continue"/>
    <w:basedOn w:val="1"/>
    <w:unhideWhenUsed/>
    <w:qFormat/>
    <w:uiPriority w:val="99"/>
    <w:pPr>
      <w:spacing w:after="120"/>
      <w:ind w:left="360"/>
      <w:contextualSpacing/>
    </w:pPr>
  </w:style>
  <w:style w:type="paragraph" w:styleId="20">
    <w:name w:val="Body Text 2"/>
    <w:basedOn w:val="1"/>
    <w:link w:val="47"/>
    <w:unhideWhenUsed/>
    <w:qFormat/>
    <w:uiPriority w:val="99"/>
    <w:pPr>
      <w:spacing w:after="120" w:line="480" w:lineRule="auto"/>
    </w:pPr>
  </w:style>
  <w:style w:type="paragraph" w:styleId="21">
    <w:name w:val="List 3"/>
    <w:basedOn w:val="1"/>
    <w:unhideWhenUsed/>
    <w:qFormat/>
    <w:uiPriority w:val="99"/>
    <w:pPr>
      <w:ind w:left="1080" w:hanging="360"/>
      <w:contextualSpacing/>
    </w:pPr>
  </w:style>
  <w:style w:type="paragraph" w:styleId="22">
    <w:name w:val="List Number 2"/>
    <w:basedOn w:val="1"/>
    <w:unhideWhenUsed/>
    <w:qFormat/>
    <w:uiPriority w:val="99"/>
    <w:pPr>
      <w:numPr>
        <w:ilvl w:val="0"/>
        <w:numId w:val="1"/>
      </w:numPr>
      <w:contextualSpacing/>
    </w:pPr>
  </w:style>
  <w:style w:type="paragraph" w:styleId="23">
    <w:name w:val="header"/>
    <w:basedOn w:val="1"/>
    <w:link w:val="37"/>
    <w:unhideWhenUsed/>
    <w:qFormat/>
    <w:uiPriority w:val="99"/>
    <w:pPr>
      <w:tabs>
        <w:tab w:val="center" w:pos="4680"/>
        <w:tab w:val="right" w:pos="9360"/>
      </w:tabs>
      <w:spacing w:after="0" w:line="240" w:lineRule="auto"/>
    </w:pPr>
  </w:style>
  <w:style w:type="paragraph" w:styleId="24">
    <w:name w:val="List Number 3"/>
    <w:basedOn w:val="1"/>
    <w:unhideWhenUsed/>
    <w:qFormat/>
    <w:uiPriority w:val="99"/>
    <w:pPr>
      <w:numPr>
        <w:ilvl w:val="0"/>
        <w:numId w:val="2"/>
      </w:numPr>
      <w:contextualSpacing/>
    </w:pPr>
  </w:style>
  <w:style w:type="paragraph" w:styleId="25">
    <w:name w:val="List Number"/>
    <w:basedOn w:val="1"/>
    <w:unhideWhenUsed/>
    <w:qFormat/>
    <w:uiPriority w:val="99"/>
    <w:pPr>
      <w:numPr>
        <w:ilvl w:val="0"/>
        <w:numId w:val="3"/>
      </w:numPr>
      <w:contextualSpacing/>
    </w:pPr>
  </w:style>
  <w:style w:type="paragraph" w:styleId="26">
    <w:name w:val="List 2"/>
    <w:basedOn w:val="1"/>
    <w:unhideWhenUsed/>
    <w:qFormat/>
    <w:uiPriority w:val="99"/>
    <w:pPr>
      <w:ind w:left="720" w:hanging="360"/>
      <w:contextualSpacing/>
    </w:pPr>
  </w:style>
  <w:style w:type="paragraph" w:styleId="27">
    <w:name w:val="List Bullet 3"/>
    <w:basedOn w:val="1"/>
    <w:unhideWhenUsed/>
    <w:qFormat/>
    <w:uiPriority w:val="99"/>
    <w:pPr>
      <w:numPr>
        <w:ilvl w:val="0"/>
        <w:numId w:val="4"/>
      </w:numPr>
      <w:contextualSpacing/>
    </w:pPr>
  </w:style>
  <w:style w:type="paragraph" w:styleId="28">
    <w:name w:val="List"/>
    <w:basedOn w:val="1"/>
    <w:unhideWhenUsed/>
    <w:qFormat/>
    <w:uiPriority w:val="99"/>
    <w:pPr>
      <w:ind w:left="360" w:hanging="360"/>
      <w:contextualSpacing/>
    </w:pPr>
  </w:style>
  <w:style w:type="paragraph" w:styleId="29">
    <w:name w:val="List Bullet"/>
    <w:basedOn w:val="1"/>
    <w:unhideWhenUsed/>
    <w:qFormat/>
    <w:uiPriority w:val="99"/>
    <w:pPr>
      <w:numPr>
        <w:ilvl w:val="0"/>
        <w:numId w:val="5"/>
      </w:numPr>
      <w:contextualSpacing/>
    </w:pPr>
  </w:style>
  <w:style w:type="paragraph" w:styleId="30">
    <w:name w:val="List Bullet 2"/>
    <w:basedOn w:val="1"/>
    <w:unhideWhenUsed/>
    <w:qFormat/>
    <w:uiPriority w:val="99"/>
    <w:pPr>
      <w:numPr>
        <w:ilvl w:val="0"/>
        <w:numId w:val="6"/>
      </w:numPr>
      <w:contextualSpacing/>
    </w:pPr>
  </w:style>
  <w:style w:type="paragraph" w:styleId="31">
    <w:name w:val="footer"/>
    <w:basedOn w:val="1"/>
    <w:link w:val="38"/>
    <w:unhideWhenUsed/>
    <w:qFormat/>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qFormat/>
    <w:uiPriority w:val="99"/>
    <w:pPr>
      <w:spacing w:after="120"/>
    </w:pPr>
  </w:style>
  <w:style w:type="paragraph" w:styleId="34">
    <w:name w:val="Body Text 3"/>
    <w:basedOn w:val="1"/>
    <w:link w:val="48"/>
    <w:unhideWhenUsed/>
    <w:qFormat/>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qFormat/>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Newsreader Text" w:hAnsi="Newsreader Text" w:eastAsia="Newsreader Text" w:cs="Newsreader Text"/>
      <w:sz w:val="22"/>
      <w:szCs w:val="22"/>
      <w:lang w:val="es-CO" w:eastAsia="es-CO"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qFormat/>
    <w:uiPriority w:val="99"/>
  </w:style>
  <w:style w:type="character" w:customStyle="1" w:styleId="47">
    <w:name w:val="Body Text 2 Char"/>
    <w:basedOn w:val="11"/>
    <w:link w:val="20"/>
    <w:qFormat/>
    <w:uiPriority w:val="99"/>
  </w:style>
  <w:style w:type="character" w:customStyle="1" w:styleId="48">
    <w:name w:val="Body Text 3 Char"/>
    <w:basedOn w:val="11"/>
    <w:link w:val="34"/>
    <w:qFormat/>
    <w:uiPriority w:val="99"/>
    <w:rPr>
      <w:sz w:val="16"/>
      <w:szCs w:val="16"/>
    </w:rPr>
  </w:style>
  <w:style w:type="character" w:customStyle="1" w:styleId="49">
    <w:name w:val="Macro Text Char"/>
    <w:basedOn w:val="11"/>
    <w:link w:val="17"/>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4">
    <w:name w:val="LC Mini"/>
    <w:basedOn w:val="1"/>
    <w:qFormat/>
    <w:uiPriority w:val="0"/>
    <w:pPr>
      <w:spacing w:before="0" w:after="0" w:line="20" w:lineRule="exact"/>
    </w:pPr>
    <w:rPr>
      <w:rFonts w:ascii="Newsreader Text" w:hAnsi="Newsreader Text" w:eastAsia="Newsreader Text" w:cs="Newsreader Text"/>
      <w:color w:val="1E1C22"/>
      <w:sz w:val="2"/>
    </w:rPr>
  </w:style>
  <w:style w:type="paragraph" w:customStyle="1" w:styleId="165">
    <w:name w:val="LC Imagen"/>
    <w:basedOn w:val="1"/>
    <w:qFormat/>
    <w:uiPriority w:val="0"/>
    <w:pPr>
      <w:spacing w:before="0" w:after="0" w:line="240" w:lineRule="auto"/>
    </w:pPr>
    <w:rPr>
      <w:rFonts w:ascii="Newsreader Text" w:hAnsi="Newsreader Text" w:eastAsia="Newsreader Text" w:cs="Newsreader Text"/>
      <w:color w:val="1E1C22"/>
      <w:sz w:val="18"/>
    </w:rPr>
  </w:style>
  <w:style w:type="paragraph" w:customStyle="1" w:styleId="166">
    <w:name w:val="LC Cabecera"/>
    <w:basedOn w:val="1"/>
    <w:qFormat/>
    <w:uiPriority w:val="0"/>
    <w:pPr>
      <w:suppressAutoHyphens/>
      <w:spacing w:before="0" w:after="0" w:line="240" w:lineRule="auto"/>
      <w:jc w:val="center"/>
    </w:pPr>
    <w:rPr>
      <w:rFonts w:ascii="Newsreader Display ExtraBold" w:hAnsi="Newsreader Display ExtraBold" w:eastAsia="Newsreader Display ExtraBold" w:cs="Newsreader Display ExtraBold"/>
      <w:color w:val="1E1C22"/>
      <w:sz w:val="112"/>
    </w:rPr>
  </w:style>
  <w:style w:type="paragraph" w:customStyle="1" w:styleId="167">
    <w:name w:val="LC Lema"/>
    <w:basedOn w:val="1"/>
    <w:qFormat/>
    <w:uiPriority w:val="0"/>
    <w:pPr>
      <w:spacing w:before="0" w:after="40" w:line="240" w:lineRule="auto"/>
      <w:jc w:val="center"/>
    </w:pPr>
    <w:rPr>
      <w:rFonts w:ascii="Newsreader Text" w:hAnsi="Newsreader Text" w:eastAsia="Newsreader Text" w:cs="Newsreader Text"/>
      <w:color w:val="1E1C22"/>
      <w:spacing w:val="36"/>
      <w:sz w:val="17"/>
    </w:rPr>
  </w:style>
  <w:style w:type="paragraph" w:customStyle="1" w:styleId="168">
    <w:name w:val="LC Numero"/>
    <w:basedOn w:val="1"/>
    <w:qFormat/>
    <w:uiPriority w:val="0"/>
    <w:pPr>
      <w:suppressAutoHyphens/>
      <w:spacing w:before="0" w:after="0" w:line="240" w:lineRule="auto"/>
    </w:pPr>
    <w:rPr>
      <w:rFonts w:ascii="Newsreader Display ExtraBold" w:hAnsi="Newsreader Display ExtraBold" w:eastAsia="Newsreader Display ExtraBold" w:cs="Newsreader Display ExtraBold"/>
      <w:color w:val="1E1C22"/>
      <w:sz w:val="60"/>
    </w:rPr>
  </w:style>
  <w:style w:type="paragraph" w:customStyle="1" w:styleId="169">
    <w:name w:val="LC Dato"/>
    <w:basedOn w:val="1"/>
    <w:qFormat/>
    <w:uiPriority w:val="0"/>
    <w:pPr>
      <w:spacing w:before="0" w:after="0" w:line="190" w:lineRule="exact"/>
    </w:pPr>
    <w:rPr>
      <w:rFonts w:ascii="Oswald" w:hAnsi="Oswald" w:eastAsia="Oswald" w:cs="Oswald"/>
      <w:color w:val="1E1C22"/>
      <w:sz w:val="15"/>
    </w:rPr>
  </w:style>
  <w:style w:type="paragraph" w:customStyle="1" w:styleId="170">
    <w:name w:val="LC Teaser"/>
    <w:basedOn w:val="1"/>
    <w:qFormat/>
    <w:uiPriority w:val="0"/>
    <w:pPr>
      <w:suppressAutoHyphens/>
      <w:spacing w:before="0" w:after="0" w:line="350" w:lineRule="exact"/>
    </w:pPr>
    <w:rPr>
      <w:rFonts w:ascii="Newsreader Display" w:hAnsi="Newsreader Display" w:eastAsia="Newsreader Display" w:cs="Newsreader Display"/>
      <w:color w:val="1E1C22"/>
      <w:sz w:val="30"/>
    </w:rPr>
  </w:style>
  <w:style w:type="paragraph" w:customStyle="1" w:styleId="171">
    <w:name w:val="LC PieFoto"/>
    <w:basedOn w:val="1"/>
    <w:qFormat/>
    <w:uiPriority w:val="0"/>
    <w:pPr>
      <w:spacing w:before="40" w:after="0" w:line="176" w:lineRule="exact"/>
    </w:pPr>
    <w:rPr>
      <w:rFonts w:ascii="Newsreader Text Bold" w:hAnsi="Newsreader Text Bold" w:eastAsia="Newsreader Text Bold" w:cs="Newsreader Text Bold"/>
      <w:color w:val="1E1C22"/>
      <w:sz w:val="14"/>
    </w:rPr>
  </w:style>
  <w:style w:type="paragraph" w:customStyle="1" w:styleId="172">
    <w:name w:val="LC TitularGrande"/>
    <w:basedOn w:val="1"/>
    <w:qFormat/>
    <w:uiPriority w:val="0"/>
    <w:pPr>
      <w:keepNext/>
      <w:suppressAutoHyphens/>
      <w:spacing w:before="80" w:after="40" w:line="780" w:lineRule="exact"/>
      <w:outlineLvl w:val="0"/>
    </w:pPr>
    <w:rPr>
      <w:rFonts w:ascii="Newsreader Display ExtraBold" w:hAnsi="Newsreader Display ExtraBold" w:eastAsia="Newsreader Display ExtraBold" w:cs="Newsreader Display ExtraBold"/>
      <w:color w:val="1E1C22"/>
      <w:sz w:val="68"/>
    </w:rPr>
  </w:style>
  <w:style w:type="paragraph" w:customStyle="1" w:styleId="173">
    <w:name w:val="LC Titular1"/>
    <w:basedOn w:val="1"/>
    <w:qFormat/>
    <w:uiPriority w:val="0"/>
    <w:pPr>
      <w:keepNext/>
      <w:suppressAutoHyphens/>
      <w:spacing w:before="0" w:after="60" w:line="660" w:lineRule="exact"/>
      <w:outlineLvl w:val="0"/>
    </w:pPr>
    <w:rPr>
      <w:rFonts w:ascii="Newsreader Display Bold" w:hAnsi="Newsreader Display Bold" w:eastAsia="Newsreader Display Bold" w:cs="Newsreader Display Bold"/>
      <w:color w:val="1E1C22"/>
      <w:sz w:val="60"/>
    </w:rPr>
  </w:style>
  <w:style w:type="paragraph" w:customStyle="1" w:styleId="174">
    <w:name w:val="LC Titular3"/>
    <w:basedOn w:val="1"/>
    <w:qFormat/>
    <w:uiPriority w:val="0"/>
    <w:pPr>
      <w:keepNext/>
      <w:suppressAutoHyphens/>
      <w:spacing w:before="0" w:after="80" w:line="400" w:lineRule="exact"/>
      <w:outlineLvl w:val="1"/>
    </w:pPr>
    <w:rPr>
      <w:rFonts w:ascii="Newsreader Display Bold" w:hAnsi="Newsreader Display Bold" w:eastAsia="Newsreader Display Bold" w:cs="Newsreader Display Bold"/>
      <w:color w:val="1E1C22"/>
      <w:sz w:val="36"/>
    </w:rPr>
  </w:style>
  <w:style w:type="paragraph" w:customStyle="1" w:styleId="175">
    <w:name w:val="LC Titular4"/>
    <w:basedOn w:val="1"/>
    <w:qFormat/>
    <w:uiPriority w:val="0"/>
    <w:pPr>
      <w:keepNext/>
      <w:suppressAutoHyphens/>
      <w:spacing w:before="0" w:after="0" w:line="340" w:lineRule="exact"/>
    </w:pPr>
    <w:rPr>
      <w:rFonts w:ascii="Newsreader Display Bold" w:hAnsi="Newsreader Display Bold" w:eastAsia="Newsreader Display Bold" w:cs="Newsreader Display Bold"/>
      <w:color w:val="1E1C22"/>
      <w:sz w:val="30"/>
    </w:rPr>
  </w:style>
  <w:style w:type="paragraph" w:customStyle="1" w:styleId="176">
    <w:name w:val="LC Titular4R"/>
    <w:basedOn w:val="1"/>
    <w:qFormat/>
    <w:uiPriority w:val="0"/>
    <w:pPr>
      <w:keepNext/>
      <w:suppressAutoHyphens/>
      <w:spacing w:before="0" w:after="60" w:line="340" w:lineRule="exact"/>
      <w:outlineLvl w:val="1"/>
    </w:pPr>
    <w:rPr>
      <w:rFonts w:ascii="Newsreader Display" w:hAnsi="Newsreader Display" w:eastAsia="Newsreader Display" w:cs="Newsreader Display"/>
      <w:color w:val="1E1C22"/>
      <w:sz w:val="31"/>
    </w:rPr>
  </w:style>
  <w:style w:type="paragraph" w:customStyle="1" w:styleId="177">
    <w:name w:val="LC Titular5"/>
    <w:basedOn w:val="1"/>
    <w:qFormat/>
    <w:uiPriority w:val="0"/>
    <w:pPr>
      <w:keepNext/>
      <w:suppressAutoHyphens/>
      <w:spacing w:before="0" w:after="0" w:line="280" w:lineRule="exact"/>
    </w:pPr>
    <w:rPr>
      <w:rFonts w:ascii="Newsreader Display Bold" w:hAnsi="Newsreader Display Bold" w:eastAsia="Newsreader Display Bold" w:cs="Newsreader Display Bold"/>
      <w:color w:val="1E1C22"/>
      <w:sz w:val="25"/>
    </w:rPr>
  </w:style>
  <w:style w:type="paragraph" w:customStyle="1" w:styleId="178">
    <w:name w:val="LC Titular5R"/>
    <w:basedOn w:val="1"/>
    <w:qFormat/>
    <w:uiPriority w:val="0"/>
    <w:pPr>
      <w:keepNext/>
      <w:suppressAutoHyphens/>
      <w:spacing w:before="0" w:after="40" w:line="290" w:lineRule="exact"/>
    </w:pPr>
    <w:rPr>
      <w:rFonts w:ascii="Newsreader Display" w:hAnsi="Newsreader Display" w:eastAsia="Newsreader Display" w:cs="Newsreader Display"/>
      <w:color w:val="1E1C22"/>
      <w:sz w:val="26"/>
    </w:rPr>
  </w:style>
  <w:style w:type="paragraph" w:customStyle="1" w:styleId="179">
    <w:name w:val="LC Antetitulo"/>
    <w:basedOn w:val="1"/>
    <w:qFormat/>
    <w:uiPriority w:val="0"/>
    <w:pPr>
      <w:keepNext/>
      <w:spacing w:before="0" w:after="0" w:line="320" w:lineRule="exact"/>
    </w:pPr>
    <w:rPr>
      <w:rFonts w:ascii="Oswald Bold" w:hAnsi="Oswald Bold" w:eastAsia="Oswald Bold" w:cs="Oswald Bold"/>
      <w:caps/>
      <w:color w:val="1F6FB2"/>
      <w:spacing w:val="12"/>
      <w:sz w:val="24"/>
    </w:rPr>
  </w:style>
  <w:style w:type="paragraph" w:customStyle="1" w:styleId="180">
    <w:name w:val="LC Sumario"/>
    <w:basedOn w:val="1"/>
    <w:qFormat/>
    <w:uiPriority w:val="0"/>
    <w:pPr>
      <w:spacing w:before="0" w:after="40" w:line="256" w:lineRule="exact"/>
    </w:pPr>
    <w:rPr>
      <w:rFonts w:ascii="Newsreader Text" w:hAnsi="Newsreader Text" w:eastAsia="Newsreader Text" w:cs="Newsreader Text"/>
      <w:color w:val="1E1C22"/>
      <w:sz w:val="21"/>
    </w:rPr>
  </w:style>
  <w:style w:type="paragraph" w:customStyle="1" w:styleId="181">
    <w:name w:val="LC Entradilla"/>
    <w:basedOn w:val="1"/>
    <w:qFormat/>
    <w:uiPriority w:val="0"/>
    <w:pPr>
      <w:suppressAutoHyphens/>
      <w:spacing w:before="0" w:after="100" w:line="260" w:lineRule="exact"/>
    </w:pPr>
    <w:rPr>
      <w:rFonts w:ascii="Newsreader Text" w:hAnsi="Newsreader Text" w:eastAsia="Newsreader Text" w:cs="Newsreader Text"/>
      <w:color w:val="1E1C22"/>
      <w:sz w:val="22"/>
    </w:rPr>
  </w:style>
  <w:style w:type="paragraph" w:customStyle="1" w:styleId="182">
    <w:name w:val="LC Deck"/>
    <w:basedOn w:val="1"/>
    <w:qFormat/>
    <w:uiPriority w:val="0"/>
    <w:pPr>
      <w:suppressAutoHyphens/>
      <w:spacing w:before="0" w:after="60" w:line="296" w:lineRule="exact"/>
    </w:pPr>
    <w:rPr>
      <w:rFonts w:ascii="Newsreader Text Italic" w:hAnsi="Newsreader Text Italic" w:eastAsia="Newsreader Text Italic" w:cs="Newsreader Text Italic"/>
      <w:color w:val="1E1C22"/>
      <w:sz w:val="24"/>
    </w:rPr>
  </w:style>
  <w:style w:type="paragraph" w:customStyle="1" w:styleId="183">
    <w:name w:val="LC Firma"/>
    <w:basedOn w:val="1"/>
    <w:qFormat/>
    <w:uiPriority w:val="0"/>
    <w:pPr>
      <w:keepNext/>
      <w:spacing w:before="0" w:after="0" w:line="190" w:lineRule="exact"/>
    </w:pPr>
    <w:rPr>
      <w:rFonts w:ascii="Oswald" w:hAnsi="Oswald" w:eastAsia="Oswald" w:cs="Oswald"/>
      <w:caps/>
      <w:color w:val="1E1C22"/>
      <w:spacing w:val="8"/>
      <w:sz w:val="13"/>
    </w:rPr>
  </w:style>
  <w:style w:type="paragraph" w:customStyle="1" w:styleId="184">
    <w:name w:val="LC Lugar"/>
    <w:basedOn w:val="1"/>
    <w:qFormat/>
    <w:uiPriority w:val="0"/>
    <w:pPr>
      <w:keepNext/>
      <w:spacing w:before="0" w:after="40" w:line="180" w:lineRule="exact"/>
    </w:pPr>
    <w:rPr>
      <w:rFonts w:ascii="Newsreader Text Bold" w:hAnsi="Newsreader Text Bold" w:eastAsia="Newsreader Text Bold" w:cs="Newsreader Text Bold"/>
      <w:color w:val="1E1C22"/>
      <w:sz w:val="15"/>
    </w:rPr>
  </w:style>
  <w:style w:type="paragraph" w:customStyle="1" w:styleId="185">
    <w:name w:val="LC Etiqueta"/>
    <w:basedOn w:val="1"/>
    <w:qFormat/>
    <w:uiPriority w:val="0"/>
    <w:pPr>
      <w:keepNext/>
      <w:spacing w:before="0" w:after="40" w:line="250" w:lineRule="exact"/>
    </w:pPr>
    <w:rPr>
      <w:rFonts w:ascii="Oswald" w:hAnsi="Oswald" w:eastAsia="Oswald" w:cs="Oswald"/>
      <w:caps/>
      <w:color w:val="6E6A72"/>
      <w:spacing w:val="30"/>
      <w:sz w:val="18"/>
    </w:rPr>
  </w:style>
  <w:style w:type="paragraph" w:customStyle="1" w:styleId="186">
    <w:name w:val="LC EtiquetaAzul"/>
    <w:basedOn w:val="1"/>
    <w:qFormat/>
    <w:uiPriority w:val="0"/>
    <w:pPr>
      <w:keepNext/>
      <w:spacing w:before="0" w:after="20" w:line="260" w:lineRule="exact"/>
    </w:pPr>
    <w:rPr>
      <w:rFonts w:ascii="Oswald Bold" w:hAnsi="Oswald Bold" w:eastAsia="Oswald Bold" w:cs="Oswald Bold"/>
      <w:color w:val="1F6FB2"/>
      <w:sz w:val="21"/>
    </w:rPr>
  </w:style>
  <w:style w:type="paragraph" w:customStyle="1" w:styleId="187">
    <w:name w:val="LC Cuerpo"/>
    <w:basedOn w:val="1"/>
    <w:qFormat/>
    <w:uiPriority w:val="0"/>
    <w:pPr>
      <w:spacing w:before="0" w:after="60" w:line="214" w:lineRule="exact"/>
    </w:pPr>
    <w:rPr>
      <w:rFonts w:ascii="Newsreader Text" w:hAnsi="Newsreader Text" w:eastAsia="Newsreader Text" w:cs="Newsreader Text"/>
      <w:color w:val="1E1C22"/>
      <w:sz w:val="17"/>
    </w:rPr>
  </w:style>
  <w:style w:type="paragraph" w:customStyle="1" w:styleId="188">
    <w:name w:val="LC CuerpoG"/>
    <w:basedOn w:val="1"/>
    <w:qFormat/>
    <w:uiPriority w:val="0"/>
    <w:pPr>
      <w:spacing w:before="0" w:after="70" w:line="226" w:lineRule="exact"/>
    </w:pPr>
    <w:rPr>
      <w:rFonts w:ascii="Newsreader Text" w:hAnsi="Newsreader Text" w:eastAsia="Newsreader Text" w:cs="Newsreader Text"/>
      <w:color w:val="1E1C22"/>
      <w:sz w:val="18"/>
    </w:rPr>
  </w:style>
  <w:style w:type="paragraph" w:customStyle="1" w:styleId="189">
    <w:name w:val="LC Ladillo"/>
    <w:basedOn w:val="1"/>
    <w:qFormat/>
    <w:uiPriority w:val="0"/>
    <w:pPr>
      <w:keepNext/>
      <w:spacing w:before="80" w:after="30" w:line="250" w:lineRule="exact"/>
      <w:outlineLvl w:val="2"/>
    </w:pPr>
    <w:rPr>
      <w:rFonts w:ascii="Oswald Bold" w:hAnsi="Oswald Bold" w:eastAsia="Oswald Bold" w:cs="Oswald Bold"/>
      <w:caps/>
      <w:color w:val="1F6FB2"/>
      <w:spacing w:val="8"/>
      <w:sz w:val="19"/>
    </w:rPr>
  </w:style>
  <w:style w:type="paragraph" w:customStyle="1" w:styleId="190">
    <w:name w:val="LC Destacado"/>
    <w:basedOn w:val="1"/>
    <w:qFormat/>
    <w:uiPriority w:val="0"/>
    <w:pPr>
      <w:suppressAutoHyphens/>
      <w:spacing w:before="120" w:after="120" w:line="340" w:lineRule="exact"/>
      <w:jc w:val="center"/>
    </w:pPr>
    <w:rPr>
      <w:rFonts w:ascii="Newsreader Display Italic" w:hAnsi="Newsreader Display Italic" w:eastAsia="Newsreader Display Italic" w:cs="Newsreader Display Italic"/>
      <w:color w:val="1E1C22"/>
      <w:sz w:val="28"/>
    </w:rPr>
  </w:style>
  <w:style w:type="paragraph" w:customStyle="1" w:styleId="191">
    <w:name w:val="LC CajaTitulo"/>
    <w:basedOn w:val="1"/>
    <w:qFormat/>
    <w:uiPriority w:val="0"/>
    <w:pPr>
      <w:keepNext/>
      <w:spacing w:before="0" w:after="60" w:line="260" w:lineRule="exact"/>
    </w:pPr>
    <w:rPr>
      <w:rFonts w:ascii="Oswald Bold" w:hAnsi="Oswald Bold" w:eastAsia="Oswald Bold" w:cs="Oswald Bold"/>
      <w:caps/>
      <w:color w:val="1F6FB2"/>
      <w:spacing w:val="12"/>
      <w:sz w:val="20"/>
    </w:rPr>
  </w:style>
  <w:style w:type="paragraph" w:customStyle="1" w:styleId="192">
    <w:name w:val="LC CajaTexto"/>
    <w:basedOn w:val="1"/>
    <w:qFormat/>
    <w:uiPriority w:val="0"/>
    <w:pPr>
      <w:spacing w:before="0" w:after="60" w:line="204" w:lineRule="exact"/>
    </w:pPr>
    <w:rPr>
      <w:rFonts w:ascii="Newsreader Text" w:hAnsi="Newsreader Text" w:eastAsia="Newsreader Text" w:cs="Newsreader Text"/>
      <w:color w:val="1E1C22"/>
      <w:sz w:val="16"/>
    </w:rPr>
  </w:style>
  <w:style w:type="paragraph" w:customStyle="1" w:styleId="193">
    <w:name w:val="LC Cifra"/>
    <w:basedOn w:val="1"/>
    <w:qFormat/>
    <w:uiPriority w:val="0"/>
    <w:pPr>
      <w:suppressAutoHyphens/>
      <w:spacing w:before="0" w:after="0" w:line="340" w:lineRule="exact"/>
    </w:pPr>
    <w:rPr>
      <w:rFonts w:ascii="Newsreader Display ExtraBold" w:hAnsi="Newsreader Display ExtraBold" w:eastAsia="Newsreader Display ExtraBold" w:cs="Newsreader Display ExtraBold"/>
      <w:color w:val="1F6FB2"/>
      <w:sz w:val="30"/>
    </w:rPr>
  </w:style>
  <w:style w:type="paragraph" w:customStyle="1" w:styleId="194">
    <w:name w:val="LC Paso"/>
    <w:basedOn w:val="1"/>
    <w:qFormat/>
    <w:uiPriority w:val="0"/>
    <w:pPr>
      <w:spacing w:before="0" w:after="0" w:line="300" w:lineRule="exact"/>
      <w:jc w:val="center"/>
    </w:pPr>
    <w:rPr>
      <w:rFonts w:ascii="Oswald Bold" w:hAnsi="Oswald Bold" w:eastAsia="Oswald Bold" w:cs="Oswald Bold"/>
      <w:color w:val="FFFFFF"/>
      <w:sz w:val="26"/>
    </w:rPr>
  </w:style>
  <w:style w:type="paragraph" w:customStyle="1" w:styleId="195">
    <w:name w:val="LC Referencia"/>
    <w:basedOn w:val="1"/>
    <w:qFormat/>
    <w:uiPriority w:val="0"/>
    <w:pPr>
      <w:spacing w:before="0" w:after="50" w:line="182" w:lineRule="exact"/>
      <w:ind w:left="283" w:hanging="283"/>
    </w:pPr>
    <w:rPr>
      <w:rFonts w:ascii="Newsreader Text" w:hAnsi="Newsreader Text" w:eastAsia="Newsreader Text" w:cs="Newsreader Text"/>
      <w:color w:val="1E1C22"/>
      <w:sz w:val="15"/>
    </w:rPr>
  </w:style>
  <w:style w:type="paragraph" w:customStyle="1" w:styleId="196">
    <w:name w:val="LC Pista"/>
    <w:basedOn w:val="1"/>
    <w:qFormat/>
    <w:uiPriority w:val="0"/>
    <w:pPr>
      <w:spacing w:before="0" w:after="44" w:line="194" w:lineRule="exact"/>
    </w:pPr>
    <w:rPr>
      <w:rFonts w:ascii="Newsreader Text" w:hAnsi="Newsreader Text" w:eastAsia="Newsreader Text" w:cs="Newsreader Text"/>
      <w:color w:val="1E1C22"/>
      <w:sz w:val="16"/>
    </w:rPr>
  </w:style>
  <w:style w:type="paragraph" w:customStyle="1" w:styleId="197">
    <w:name w:val="LC Celda"/>
    <w:basedOn w:val="1"/>
    <w:qFormat/>
    <w:uiPriority w:val="0"/>
    <w:pPr>
      <w:spacing w:before="0" w:after="0" w:line="120" w:lineRule="exact"/>
    </w:pPr>
    <w:rPr>
      <w:rFonts w:ascii="Oswald" w:hAnsi="Oswald" w:eastAsia="Oswald" w:cs="Oswald"/>
      <w:color w:val="1E1C22"/>
      <w:sz w:val="11"/>
    </w:rPr>
  </w:style>
  <w:style w:type="paragraph" w:customStyle="1" w:styleId="198">
    <w:name w:val="LC Narrador"/>
    <w:basedOn w:val="1"/>
    <w:qFormat/>
    <w:uiPriority w:val="0"/>
    <w:pPr>
      <w:spacing w:before="20" w:after="20" w:line="204" w:lineRule="exact"/>
    </w:pPr>
    <w:rPr>
      <w:rFonts w:ascii="Oswald" w:hAnsi="Oswald" w:eastAsia="Oswald" w:cs="Oswald"/>
      <w:color w:val="1E1C22"/>
      <w:sz w:val="16"/>
    </w:rPr>
  </w:style>
  <w:style w:type="paragraph" w:customStyle="1" w:styleId="199">
    <w:name w:val="LC Dialogo"/>
    <w:basedOn w:val="1"/>
    <w:qFormat/>
    <w:uiPriority w:val="0"/>
    <w:pPr>
      <w:spacing w:before="0" w:after="20" w:line="204" w:lineRule="exact"/>
    </w:pPr>
    <w:rPr>
      <w:rFonts w:ascii="Newsreader Text" w:hAnsi="Newsreader Text" w:eastAsia="Newsreader Text" w:cs="Newsreader Text"/>
      <w:color w:val="1E1C22"/>
      <w:sz w:val="17"/>
    </w:rPr>
  </w:style>
  <w:style w:type="paragraph" w:customStyle="1" w:styleId="200">
    <w:name w:val="LC TablaEnc"/>
    <w:basedOn w:val="1"/>
    <w:qFormat/>
    <w:uiPriority w:val="0"/>
    <w:pPr>
      <w:spacing w:before="0" w:after="0" w:line="200" w:lineRule="exact"/>
    </w:pPr>
    <w:rPr>
      <w:rFonts w:ascii="Oswald Bold" w:hAnsi="Oswald Bold" w:eastAsia="Oswald Bold" w:cs="Oswald Bold"/>
      <w:color w:val="FFFFFF"/>
      <w:sz w:val="16"/>
    </w:rPr>
  </w:style>
  <w:style w:type="paragraph" w:customStyle="1" w:styleId="201">
    <w:name w:val="LC TablaTxt"/>
    <w:basedOn w:val="1"/>
    <w:qFormat/>
    <w:uiPriority w:val="0"/>
    <w:pPr>
      <w:spacing w:before="0" w:after="0" w:line="188" w:lineRule="exact"/>
    </w:pPr>
    <w:rPr>
      <w:rFonts w:ascii="Newsreader Text" w:hAnsi="Newsreader Text" w:eastAsia="Newsreader Text" w:cs="Newsreader Text"/>
      <w:color w:val="1E1C22"/>
      <w:sz w:val="15"/>
    </w:rPr>
  </w:style>
  <w:style w:type="paragraph" w:customStyle="1" w:styleId="202">
    <w:name w:val="LC Seccion"/>
    <w:basedOn w:val="1"/>
    <w:qFormat/>
    <w:uiPriority w:val="0"/>
    <w:pPr>
      <w:suppressAutoHyphens/>
      <w:spacing w:before="0" w:after="0" w:line="240" w:lineRule="auto"/>
    </w:pPr>
    <w:rPr>
      <w:rFonts w:ascii="Oswald Bold" w:hAnsi="Oswald Bold" w:eastAsia="Oswald Bold" w:cs="Oswald Bold"/>
      <w:caps/>
      <w:color w:val="1E1C22"/>
      <w:sz w:val="44"/>
    </w:rPr>
  </w:style>
  <w:style w:type="paragraph" w:customStyle="1" w:styleId="203">
    <w:name w:val="LC Folio"/>
    <w:basedOn w:val="1"/>
    <w:qFormat/>
    <w:uiPriority w:val="0"/>
    <w:pPr>
      <w:spacing w:before="0" w:after="0" w:line="220" w:lineRule="exact"/>
    </w:pPr>
    <w:rPr>
      <w:rFonts w:ascii="Oswald" w:hAnsi="Oswald" w:eastAsia="Oswald" w:cs="Oswald"/>
      <w:color w:val="1E1C22"/>
      <w:sz w:val="16"/>
    </w:rPr>
  </w:style>
  <w:style w:type="paragraph" w:customStyle="1" w:styleId="204">
    <w:name w:val="LC Pie"/>
    <w:basedOn w:val="1"/>
    <w:qFormat/>
    <w:uiPriority w:val="0"/>
    <w:pPr>
      <w:spacing w:before="0" w:after="0" w:line="180" w:lineRule="exact"/>
    </w:pPr>
    <w:rPr>
      <w:rFonts w:ascii="Oswald" w:hAnsi="Oswald" w:eastAsia="Oswald" w:cs="Oswald"/>
      <w:color w:val="6E6A72"/>
      <w:sz w:val="1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3020</Words>
  <Characters>16140</Characters>
  <Lines>0</Lines>
  <Paragraphs>0</Paragraphs>
  <TotalTime>0</TotalTime>
  <ScaleCrop>false</ScaleCrop>
  <LinksUpToDate>false</LinksUpToDate>
  <CharactersWithSpaces>18921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Mesa de redacción</dc:creator>
  <dc:description>generated by python-docx</dc:description>
  <cp:keywords>problemas sociales; Suárez; Trabajo Social</cp:keywords>
  <cp:lastModifiedBy>LENOVO</cp:lastModifiedBy>
  <dcterms:modified xsi:type="dcterms:W3CDTF">2026-09-15T15:41:57Z</dcterms:modified>
  <dc:subject>Actividad 1 · Problemas sociales contemporáneos</dc:subject>
  <dc:title>LA CUESTIÓN · Periódico de análisis social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eyJoZGlkIjoiY2M4ZDA4N2MxNjU2N2FmODUwYWQxZTA2OTBhZjkxYzMifQ==</vt:lpwstr>
  </property>
  <property fmtid="{D5CDD505-2E9C-101B-9397-08002B2CF9AE}" pid="3" name="KSOProductBuildVer">
    <vt:lpwstr>3082-12.1.0.28485</vt:lpwstr>
  </property>
  <property fmtid="{D5CDD505-2E9C-101B-9397-08002B2CF9AE}" pid="4" name="ICV">
    <vt:lpwstr>F0744AAA4BF24E52A0FAF6D95DB9B0AE_12</vt:lpwstr>
  </property>
</Properties>
</file>