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60"/>
      </w:pPr>
      <w:r>
        <w:rPr>
          <w:b/>
          <w:bCs/>
          <w:color w:val="146079"/>
          <w:spacing w:val="30"/>
          <w:sz w:val="16"/>
          <w:szCs w:val="16"/>
        </w:rPr>
        <w:t xml:space="preserve">DEL FOLLETO AL ESCAPARATE · SEPTIEMBRE 2026</w:t>
      </w:r>
    </w:p>
    <w:p>
      <w:pPr>
        <w:pStyle w:val="Heading1"/>
        <w:spacing w:after="120" w:before="120"/>
      </w:pPr>
      <w:r>
        <w:rPr>
          <w:b/>
          <w:bCs/>
          <w:color w:val="152227"/>
          <w:sz w:val="44"/>
          <w:szCs w:val="44"/>
        </w:rPr>
        <w:t xml:space="preserve">El CORE de la RAP de envases</w:t>
      </w:r>
    </w:p>
    <w:p>
      <w:pPr>
        <w:spacing w:after="140"/>
      </w:pPr>
      <w:r>
        <w:rPr>
          <w:color w:val="41575E"/>
          <w:sz w:val="23"/>
          <w:szCs w:val="23"/>
        </w:rPr>
        <w:t xml:space="preserve">Cómo convertir scrapenvases.com en el escaparate de un ecosistema que </w:t>
      </w:r>
      <w:r>
        <w:rPr>
          <w:b/>
          <w:bCs/>
          <w:color w:val="152227"/>
          <w:sz w:val="23"/>
          <w:szCs w:val="23"/>
        </w:rPr>
        <w:t xml:space="preserve">ya existe</w:t>
      </w:r>
      <w:r>
        <w:rPr>
          <w:color w:val="41575E"/>
          <w:sz w:val="23"/>
          <w:szCs w:val="23"/>
        </w:rPr>
        <w:t xml:space="preserve"> y resuelve las tres necesidades del SCRAP: homologar, controlar la documentación y gestionar los incentivos del poseedor.</w:t>
      </w:r>
    </w:p>
    <w:p>
      <w:pPr>
        <w:spacing w:after="120" w:before="160"/>
      </w:pPr>
      <w:r>
        <w:rPr>
          <w:b/>
          <w:bCs/>
          <w:color w:val="6D8189"/>
          <w:sz w:val="15"/>
          <w:szCs w:val="15"/>
        </w:rPr>
        <w:t xml:space="preserve">PARA  </w:t>
      </w:r>
      <w:r>
        <w:rPr>
          <w:color w:val="41575E"/>
          <w:sz w:val="18"/>
          <w:szCs w:val="18"/>
        </w:rPr>
        <w:t xml:space="preserve">Víctor Bueno · Grupo INPWASTE  </w:t>
      </w:r>
      <w:r>
        <w:rPr>
          <w:b/>
          <w:bCs/>
          <w:color w:val="6D8189"/>
          <w:sz w:val="15"/>
          <w:szCs w:val="15"/>
        </w:rPr>
        <w:t xml:space="preserve">      ECOSISTEMA  </w:t>
      </w:r>
      <w:r>
        <w:rPr>
          <w:color w:val="41575E"/>
          <w:sz w:val="18"/>
          <w:szCs w:val="18"/>
        </w:rPr>
        <w:t xml:space="preserve">SCRAPP · INPROGEST · PROBATUS  </w:t>
      </w:r>
      <w:r>
        <w:rPr>
          <w:b/>
          <w:bCs/>
          <w:color w:val="6D8189"/>
          <w:sz w:val="15"/>
          <w:szCs w:val="15"/>
        </w:rPr>
        <w:t xml:space="preserve">      MARCO  </w:t>
      </w:r>
      <w:r>
        <w:rPr>
          <w:color w:val="41575E"/>
          <w:sz w:val="18"/>
          <w:szCs w:val="18"/>
        </w:rPr>
        <w:t xml:space="preserve">RD 1055/2022 · Envases comerciales e industriales  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00  </w:t>
      </w:r>
      <w:r>
        <w:rPr>
          <w:b/>
          <w:bCs/>
          <w:color w:val="152227"/>
          <w:sz w:val="30"/>
          <w:szCs w:val="30"/>
        </w:rPr>
        <w:t xml:space="preserve">El cambio de concepto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Hoy scrapenvases.com </w:t>
      </w:r>
      <w:r>
        <w:rPr>
          <w:b/>
          <w:bCs/>
          <w:color w:val="152227"/>
          <w:sz w:val="21"/>
          <w:szCs w:val="21"/>
        </w:rPr>
        <w:t xml:space="preserve">informa</w:t>
      </w:r>
      <w:r>
        <w:rPr>
          <w:color w:val="152227"/>
          <w:sz w:val="21"/>
          <w:szCs w:val="21"/>
        </w:rPr>
        <w:t xml:space="preserve">: explica la RAP a tres perfiles (SCRAP, gestor, poseedor) y presenta dos herramientas sueltas, SCRAPP y PROBATUS. Funciona como folleto. El nuevo concepto es otro: scrapenvases.com es el </w:t>
      </w:r>
      <w:r>
        <w:rPr>
          <w:b/>
          <w:bCs/>
          <w:color w:val="152227"/>
          <w:sz w:val="21"/>
          <w:szCs w:val="21"/>
        </w:rPr>
        <w:t xml:space="preserve">escaparate del CORE</w:t>
      </w:r>
      <w:r>
        <w:rPr>
          <w:color w:val="152227"/>
          <w:sz w:val="21"/>
          <w:szCs w:val="21"/>
        </w:rPr>
        <w:t xml:space="preserve"> —un ecosistema que ya está en marcha y que cubre, de punta a punta, lo que la RAP de envases le exige a cada actor. No vendemos tres apps; enseñamos un sistema que ya funciona.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4680"/>
        <w:gridCol w:w="4680"/>
      </w:tblGrid>
      <w:tr>
        <w:tc>
          <w:tcPr>
            <w:tcW w:type="dxa" w:w="468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6D8189"/>
                <w:spacing w:val="20"/>
                <w:sz w:val="16"/>
                <w:szCs w:val="16"/>
              </w:rPr>
              <w:t xml:space="preserve">HOY · FOLLETO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"Dos soluciones": SCRAPP y PROBATUS, por separado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Textos que explican la norma, sin resolverla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Tres perfiles tratados por igual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Ninguna puerta de entrada ni prueba de que el sistema opera</w:t>
            </w:r>
          </w:p>
        </w:tc>
        <w:tc>
          <w:tcPr>
            <w:tcW w:type="dxa" w:w="4680"/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b/>
                <w:bCs/>
                <w:color w:val="146079"/>
                <w:spacing w:val="20"/>
                <w:sz w:val="16"/>
                <w:szCs w:val="16"/>
              </w:rPr>
              <w:t xml:space="preserve">OBJETIVO · ESCAPARATE DEL CORE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Un ecosistema de tres piezas que encajan entre sí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Cada necesidad real → la herramienta que la resuelve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Foco claro en el SCRAP; el poseedor como aliado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"Esto ya lo usan los que cumplen": credibilidad y contacto</w:t>
            </w:r>
          </w:p>
        </w:tc>
      </w:tr>
    </w:tbl>
    <w:p>
      <w:pPr>
        <w:spacing w:after="120"/>
      </w:pPr>
      <w:r>
        <w:rPr>
          <w:b/>
          <w:bCs/>
          <w:color w:val="3F7F37"/>
          <w:sz w:val="21"/>
          <w:szCs w:val="21"/>
        </w:rPr>
        <w:t xml:space="preserve">La frase que lo resume:  </w:t>
      </w:r>
      <w:r>
        <w:rPr>
          <w:b/>
          <w:bCs/>
          <w:color w:val="152227"/>
          <w:sz w:val="21"/>
          <w:szCs w:val="21"/>
        </w:rPr>
        <w:t xml:space="preserve">"El CORE de la RAP de envases: un ecosistema que ya homologa, controla y traza lo que la norma te exige."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01  </w:t>
      </w:r>
      <w:r>
        <w:rPr>
          <w:b/>
          <w:bCs/>
          <w:color w:val="152227"/>
          <w:sz w:val="30"/>
          <w:szCs w:val="30"/>
        </w:rPr>
        <w:t xml:space="preserve">El pulso real de la RAP de envases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Desde el </w:t>
      </w:r>
      <w:r>
        <w:rPr>
          <w:b/>
          <w:bCs/>
          <w:color w:val="152227"/>
          <w:sz w:val="21"/>
          <w:szCs w:val="21"/>
        </w:rPr>
        <w:t xml:space="preserve">1 de enero de 2025</w:t>
      </w:r>
      <w:r>
        <w:rPr>
          <w:color w:val="152227"/>
          <w:sz w:val="21"/>
          <w:szCs w:val="21"/>
        </w:rPr>
        <w:t xml:space="preserve"> la RAP es obligatoria para los envases comerciales e industriales (garrafas, bidones, IBC, big bags, palés, films, cajas). El marco es nuevo, cambia rápido y el sector lo vive con </w:t>
      </w:r>
      <w:r>
        <w:rPr>
          <w:b/>
          <w:bCs/>
          <w:color w:val="152227"/>
          <w:sz w:val="21"/>
          <w:szCs w:val="21"/>
        </w:rPr>
        <w:t xml:space="preserve">inseguridad y carga administrativa</w:t>
      </w:r>
      <w:r>
        <w:rPr>
          <w:color w:val="152227"/>
          <w:sz w:val="21"/>
          <w:szCs w:val="21"/>
        </w:rPr>
        <w:t xml:space="preserve">. Ese es el estado de ánimo al que tiene que hablar la web.</w:t>
      </w:r>
    </w:p>
    <w:tbl>
      <w:tblPr>
        <w:tblW w:type="dxa" w:w="9360"/>
        <w:tblBorders>
          <w:top w:val="single" w:color="D7E0E0" w:sz="4"/>
          <w:left w:val="single" w:color="D7E0E0" w:sz="4"/>
          <w:bottom w:val="single" w:color="D7E0E0" w:sz="4"/>
          <w:right w:val="single" w:color="D7E0E0" w:sz="4"/>
          <w:insideH w:val="single" w:color="D7E0E0" w:sz="4"/>
          <w:insideV w:val="single" w:color="D7E0E0" w:sz="4"/>
        </w:tblBorders>
      </w:tblPr>
      <w:tblGrid>
        <w:gridCol w:w="6600"/>
        <w:gridCol w:w="2760"/>
      </w:tblGrid>
      <w:tr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6079"/>
                <w:sz w:val="22"/>
                <w:szCs w:val="22"/>
              </w:rPr>
              <w:t xml:space="preserve">1 ENE 2025</w:t>
            </w:r>
          </w:p>
          <w:p>
            <w:r>
              <w:rPr>
                <w:color w:val="41575E"/>
                <w:sz w:val="19"/>
                <w:szCs w:val="19"/>
              </w:rPr>
              <w:t xml:space="preserve">La RAP ya es obligatoria para envases comerciales e industriales.</w:t>
            </w:r>
          </w:p>
        </w:tc>
        <w:tc>
          <w:tcPr>
            <w:tcW w:type="dxa" w:w="276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D8189"/>
                <w:sz w:val="16"/>
                <w:szCs w:val="16"/>
              </w:rPr>
              <w:t xml:space="preserve">Interempresas</w:t>
            </w:r>
          </w:p>
        </w:tc>
      </w:tr>
      <w:tr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6079"/>
                <w:sz w:val="22"/>
                <w:szCs w:val="22"/>
              </w:rPr>
              <w:t xml:space="preserve">+50%</w:t>
            </w:r>
          </w:p>
          <w:p>
            <w:r>
              <w:rPr>
                <w:color w:val="41575E"/>
                <w:sz w:val="19"/>
                <w:szCs w:val="19"/>
              </w:rPr>
              <w:t xml:space="preserve">de las empresas afectadas aún no se habían inscrito en el registro.</w:t>
            </w:r>
          </w:p>
        </w:tc>
        <w:tc>
          <w:tcPr>
            <w:tcW w:type="dxa" w:w="276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D8189"/>
                <w:sz w:val="16"/>
                <w:szCs w:val="16"/>
              </w:rPr>
              <w:t xml:space="preserve">Residuos Profesional</w:t>
            </w:r>
          </w:p>
        </w:tc>
      </w:tr>
      <w:tr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6079"/>
                <w:sz w:val="22"/>
                <w:szCs w:val="22"/>
              </w:rPr>
              <w:t xml:space="preserve">3–5 €/t</w:t>
            </w:r>
          </w:p>
          <w:p>
            <w:r>
              <w:rPr>
                <w:color w:val="41575E"/>
                <w:sz w:val="19"/>
                <w:szCs w:val="19"/>
              </w:rPr>
              <w:t xml:space="preserve">incentivo que corresponde al poseedor final por aportar la trazabilidad.</w:t>
            </w:r>
          </w:p>
        </w:tc>
        <w:tc>
          <w:tcPr>
            <w:tcW w:type="dxa" w:w="276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D8189"/>
                <w:sz w:val="16"/>
                <w:szCs w:val="16"/>
              </w:rPr>
              <w:t xml:space="preserve">Interempresas · art. 42.5 RD 1055/2022</w:t>
            </w:r>
          </w:p>
        </w:tc>
      </w:tr>
      <w:tr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46079"/>
                <w:sz w:val="22"/>
                <w:szCs w:val="22"/>
              </w:rPr>
              <w:t xml:space="preserve">LER 15 01</w:t>
            </w:r>
          </w:p>
          <w:p>
            <w:r>
              <w:rPr>
                <w:color w:val="41575E"/>
                <w:sz w:val="19"/>
                <w:szCs w:val="19"/>
              </w:rPr>
              <w:t xml:space="preserve">único código válido para el residuo de envase; no vale el grupo 20.</w:t>
            </w:r>
          </w:p>
        </w:tc>
        <w:tc>
          <w:tcPr>
            <w:tcW w:type="dxa" w:w="2760"/>
            <w:shd w:fill="F7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6D8189"/>
                <w:sz w:val="16"/>
                <w:szCs w:val="16"/>
              </w:rPr>
              <w:t xml:space="preserve">Guía sectorial RD 1055/2022</w:t>
            </w:r>
          </w:p>
        </w:tc>
      </w:tr>
    </w:tbl>
    <w:p>
      <w:pPr>
        <w:spacing w:after="120"/>
      </w:pPr>
    </w:p>
    <w:p>
      <w:pPr>
        <w:pBdr>
          <w:left w:val="single" w:color="146079" w:sz="18" w:space="14"/>
        </w:pBdr>
        <w:spacing w:after="120" w:before="100"/>
        <w:ind w:left="240"/>
      </w:pPr>
      <w:r>
        <w:rPr>
          <w:i/>
          <w:iCs/>
          <w:color w:val="152227"/>
          <w:sz w:val="22"/>
          <w:szCs w:val="22"/>
        </w:rPr>
        <w:t xml:space="preserve">“Los cumplidores ahora mismo están en indefensión manifiesta frente a empresas que no se han registrado.”</w:t>
      </w:r>
      <w:r>
        <w:rPr>
          <w:color w:val="6D8189"/>
          <w:sz w:val="16"/>
          <w:szCs w:val="16"/>
        </w:rPr>
        <w:t xml:space="preserve">   — Joan Ros, Envalora (vía Interempresas)</w:t>
      </w:r>
    </w:p>
    <w:p>
      <w:pPr>
        <w:pBdr>
          <w:left w:val="single" w:color="146079" w:sz="18" w:space="14"/>
        </w:pBdr>
        <w:spacing w:after="120" w:before="100"/>
        <w:ind w:left="240"/>
      </w:pPr>
      <w:r>
        <w:rPr>
          <w:i/>
          <w:iCs/>
          <w:color w:val="152227"/>
          <w:sz w:val="22"/>
          <w:szCs w:val="22"/>
        </w:rPr>
        <w:t xml:space="preserve">“Las reglas del juego no están claras… y cada SCRAP hace una interpretación diferente de la misma norma.”</w:t>
      </w:r>
      <w:r>
        <w:rPr>
          <w:color w:val="6D8189"/>
          <w:sz w:val="16"/>
          <w:szCs w:val="16"/>
        </w:rPr>
        <w:t xml:space="preserve">   — Responsables de SCRAP en mesa redonda (vía Interempresas)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Traducción para la web: el mercado no necesita que le expliquen otra vez el RD 1055/2022 —eso ya lo tiene—; necesita </w:t>
      </w:r>
      <w:r>
        <w:rPr>
          <w:b/>
          <w:bCs/>
          <w:color w:val="152227"/>
          <w:sz w:val="21"/>
          <w:szCs w:val="21"/>
        </w:rPr>
        <w:t xml:space="preserve">certeza, papeleo resuelto y algo que ya funcione</w:t>
      </w:r>
      <w:r>
        <w:rPr>
          <w:color w:val="152227"/>
          <w:sz w:val="21"/>
          <w:szCs w:val="21"/>
        </w:rPr>
        <w:t xml:space="preserve">. Ese es exactamente el hueco que ocupa el CORE.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02  </w:t>
      </w:r>
      <w:r>
        <w:rPr>
          <w:b/>
          <w:bCs/>
          <w:color w:val="152227"/>
          <w:sz w:val="30"/>
          <w:szCs w:val="30"/>
        </w:rPr>
        <w:t xml:space="preserve">El CORE: tres necesidades del SCRAP, tres herramientas</w:t>
      </w:r>
    </w:p>
    <w:p>
      <w:pPr>
        <w:pStyle w:val="Heading3"/>
        <w:spacing w:after="40" w:before="200"/>
      </w:pPr>
      <w:r>
        <w:rPr>
          <w:b/>
          <w:bCs/>
          <w:color w:val="146079"/>
          <w:sz w:val="24"/>
          <w:szCs w:val="24"/>
        </w:rPr>
        <w:t xml:space="preserve">PROBATUS — Homologar y controlar a tus gestores</w:t>
      </w:r>
    </w:p>
    <w:p>
      <w:pPr>
        <w:spacing w:after="140"/>
      </w:pPr>
      <w:r>
        <w:rPr>
          <w:b/>
          <w:bCs/>
          <w:color w:val="152227"/>
          <w:sz w:val="21"/>
          <w:szCs w:val="21"/>
        </w:rPr>
        <w:t xml:space="preserve">El dolor: </w:t>
      </w:r>
      <w:r>
        <w:rPr>
          <w:color w:val="41575E"/>
          <w:sz w:val="21"/>
          <w:szCs w:val="21"/>
        </w:rPr>
        <w:t xml:space="preserve">un SCRAP tiene que homologar y auditar a cientos de gestores heterogéneos —Cartón Circular declara más de 400 integrados— y el dato que reporta a la Administración debe ser defendible en inspección. Hacerlo a mano no escala.</w:t>
      </w:r>
    </w:p>
    <w:p>
      <w:pPr>
        <w:shd w:fill="EEF2F2" w:val="clear"/>
        <w:spacing w:after="160" w:before="60"/>
        <w:ind w:left="200"/>
      </w:pPr>
      <w:r>
        <w:rPr>
          <w:b/>
          <w:bCs/>
          <w:color w:val="152227"/>
          <w:sz w:val="21"/>
          <w:szCs w:val="21"/>
        </w:rPr>
        <w:t xml:space="preserve">» Homologa, evalúa y audita a tus gestores de forma homogénea y auditable.</w:t>
      </w:r>
    </w:p>
    <w:p>
      <w:pPr>
        <w:pStyle w:val="Heading3"/>
        <w:spacing w:after="40" w:before="200"/>
      </w:pPr>
      <w:r>
        <w:rPr>
          <w:b/>
          <w:bCs/>
          <w:color w:val="3F7F37"/>
          <w:sz w:val="24"/>
          <w:szCs w:val="24"/>
        </w:rPr>
        <w:t xml:space="preserve">INPROGEST — Control documental de cada servicio</w:t>
      </w:r>
    </w:p>
    <w:p>
      <w:pPr>
        <w:spacing w:after="140"/>
      </w:pPr>
      <w:r>
        <w:rPr>
          <w:b/>
          <w:bCs/>
          <w:color w:val="152227"/>
          <w:sz w:val="21"/>
          <w:szCs w:val="21"/>
        </w:rPr>
        <w:t xml:space="preserve">El dolor: </w:t>
      </w:r>
      <w:r>
        <w:rPr>
          <w:color w:val="41575E"/>
          <w:sz w:val="21"/>
          <w:szCs w:val="21"/>
        </w:rPr>
        <w:t xml:space="preserve">cada retirada genera papel —Documento de Identificación, ficha de seguimiento, certificado de reciclado efectivo— que hay que recopilar, validar y conservar. Y encima reportar dos veces: al SCRAP y al MITECO. Es el cuello de botella unánime del sistema.</w:t>
      </w:r>
    </w:p>
    <w:p>
      <w:pPr>
        <w:shd w:fill="EEF2F2" w:val="clear"/>
        <w:spacing w:after="160" w:before="60"/>
        <w:ind w:left="200"/>
      </w:pPr>
      <w:r>
        <w:rPr>
          <w:b/>
          <w:bCs/>
          <w:color w:val="152227"/>
          <w:sz w:val="21"/>
          <w:szCs w:val="21"/>
        </w:rPr>
        <w:t xml:space="preserve">» Coordina a todos los agentes y centraliza el control documental de tus servicios, listo para inspección.</w:t>
      </w:r>
    </w:p>
    <w:p>
      <w:pPr>
        <w:pStyle w:val="Heading3"/>
        <w:spacing w:after="40" w:before="200"/>
      </w:pPr>
      <w:r>
        <w:rPr>
          <w:b/>
          <w:bCs/>
          <w:color w:val="146079"/>
          <w:sz w:val="24"/>
          <w:szCs w:val="24"/>
        </w:rPr>
        <w:t xml:space="preserve">SCRAPP — Documentos e incentivos del poseedor</w:t>
      </w:r>
    </w:p>
    <w:p>
      <w:pPr>
        <w:spacing w:after="140"/>
      </w:pPr>
      <w:r>
        <w:rPr>
          <w:b/>
          <w:bCs/>
          <w:color w:val="152227"/>
          <w:sz w:val="21"/>
          <w:szCs w:val="21"/>
        </w:rPr>
        <w:t xml:space="preserve">El dolor: </w:t>
      </w:r>
      <w:r>
        <w:rPr>
          <w:color w:val="41575E"/>
          <w:sz w:val="21"/>
          <w:szCs w:val="21"/>
        </w:rPr>
        <w:t xml:space="preserve">el incentivo (3–5 €/t) es del poseedor final por ley, pero el dato lo tiene el gestor; y hay que mover ese flujo miles de veces al año con calidad auditable. Cuando se "puentea" al poseedor, se distorsiona todo el sistema.</w:t>
      </w:r>
    </w:p>
    <w:p>
      <w:pPr>
        <w:shd w:fill="EEF2F2" w:val="clear"/>
        <w:spacing w:after="160" w:before="60"/>
        <w:ind w:left="200"/>
      </w:pPr>
      <w:r>
        <w:rPr>
          <w:b/>
          <w:bCs/>
          <w:color w:val="152227"/>
          <w:sz w:val="21"/>
          <w:szCs w:val="21"/>
        </w:rPr>
        <w:t xml:space="preserve">» Traza el flujo entre poseedor, gestor y SCRAP y paga el incentivo a quien toca con la prueba que lo justifica.</w:t>
      </w:r>
    </w:p>
    <w:p>
      <w:pPr>
        <w:spacing w:after="140"/>
      </w:pPr>
      <w:r>
        <w:rPr>
          <w:b/>
          <w:bCs/>
          <w:color w:val="3F7F37"/>
          <w:sz w:val="21"/>
          <w:szCs w:val="21"/>
        </w:rPr>
        <w:t xml:space="preserve">El titular del CORE:  </w:t>
      </w:r>
      <w:r>
        <w:rPr>
          <w:b/>
          <w:bCs/>
          <w:color w:val="152227"/>
          <w:sz w:val="21"/>
          <w:szCs w:val="21"/>
        </w:rPr>
        <w:t xml:space="preserve">"Tú pones el SCRAP. El CORE pone el control."</w:t>
      </w:r>
      <w:r>
        <w:rPr>
          <w:i/>
          <w:iCs/>
          <w:color w:val="6D8189"/>
          <w:sz w:val="18"/>
          <w:szCs w:val="18"/>
        </w:rPr>
        <w:t xml:space="preserve">  (nota: para tono neutro de portal se suaviza; ver versión de copy).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03  </w:t>
      </w:r>
      <w:r>
        <w:rPr>
          <w:b/>
          <w:bCs/>
          <w:color w:val="152227"/>
          <w:sz w:val="30"/>
          <w:szCs w:val="30"/>
        </w:rPr>
        <w:t xml:space="preserve">Y para el poseedor: su canal para cumplir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El poseedor final es quien </w:t>
      </w:r>
      <w:r>
        <w:rPr>
          <w:b/>
          <w:bCs/>
          <w:color w:val="152227"/>
          <w:sz w:val="21"/>
          <w:szCs w:val="21"/>
        </w:rPr>
        <w:t xml:space="preserve">ostenta la obligación legal</w:t>
      </w:r>
      <w:r>
        <w:rPr>
          <w:color w:val="152227"/>
          <w:sz w:val="21"/>
          <w:szCs w:val="21"/>
        </w:rPr>
        <w:t xml:space="preserve"> de garantizar la trazabilidad ante la Administración, aunque el papel lo emita su gestor. Hoy eso se traduce en fricción diaria: aprender una plataforma nueva por cada SCRAP, perseguir al gestor para que le pase el DI y el certificado en el formato correcto, codificar bien el LER… todo para cobrar un incentivo pequeño que muchos ni saben que les corresponde.</w:t>
      </w:r>
    </w:p>
    <w:p>
      <w:pPr>
        <w:spacing w:after="140"/>
      </w:pPr>
      <w:r>
        <w:rPr>
          <w:b/>
          <w:bCs/>
          <w:color w:val="3F7F37"/>
          <w:sz w:val="21"/>
          <w:szCs w:val="21"/>
        </w:rPr>
        <w:t xml:space="preserve">Mensaje al poseedor:  </w:t>
      </w:r>
      <w:r>
        <w:rPr>
          <w:b/>
          <w:bCs/>
          <w:color w:val="152227"/>
          <w:sz w:val="21"/>
          <w:szCs w:val="21"/>
        </w:rPr>
        <w:t xml:space="preserve">"Tus residuos de envases, ordenados y a disposición de tu SCRAP. Sin teclear de más."</w:t>
      </w:r>
    </w:p>
    <w:p>
      <w:pPr>
        <w:spacing w:after="140"/>
      </w:pPr>
      <w:r>
        <w:rPr>
          <w:color w:val="152227"/>
          <w:sz w:val="21"/>
          <w:szCs w:val="21"/>
        </w:rPr>
        <w:t xml:space="preserve">scrapenvases.com le ofrece al poseedor un canal para </w:t>
      </w:r>
      <w:r>
        <w:rPr>
          <w:b/>
          <w:bCs/>
          <w:color w:val="152227"/>
          <w:sz w:val="21"/>
          <w:szCs w:val="21"/>
        </w:rPr>
        <w:t xml:space="preserve">organizar la documentación</w:t>
      </w:r>
      <w:r>
        <w:rPr>
          <w:color w:val="152227"/>
          <w:sz w:val="21"/>
          <w:szCs w:val="21"/>
        </w:rPr>
        <w:t xml:space="preserve"> de sus residuos de envases, </w:t>
      </w:r>
      <w:r>
        <w:rPr>
          <w:b/>
          <w:bCs/>
          <w:color w:val="152227"/>
          <w:sz w:val="21"/>
          <w:szCs w:val="21"/>
        </w:rPr>
        <w:t xml:space="preserve">ponerla a disposición del SCRAP</w:t>
      </w:r>
      <w:r>
        <w:rPr>
          <w:color w:val="152227"/>
          <w:sz w:val="21"/>
          <w:szCs w:val="21"/>
        </w:rPr>
        <w:t xml:space="preserve"> y </w:t>
      </w:r>
      <w:r>
        <w:rPr>
          <w:b/>
          <w:bCs/>
          <w:color w:val="152227"/>
          <w:sz w:val="21"/>
          <w:szCs w:val="21"/>
        </w:rPr>
        <w:t xml:space="preserve">cumplir sus obligaciones</w:t>
      </w:r>
      <w:r>
        <w:rPr>
          <w:color w:val="152227"/>
          <w:sz w:val="21"/>
          <w:szCs w:val="21"/>
        </w:rPr>
        <w:t xml:space="preserve"> del RD 1055/2022 —manteniendo sus acuerdos actuales con sus gestores de siempre.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04  </w:t>
      </w:r>
      <w:r>
        <w:rPr>
          <w:b/>
          <w:bCs/>
          <w:color w:val="152227"/>
          <w:sz w:val="30"/>
          <w:szCs w:val="30"/>
        </w:rPr>
        <w:t xml:space="preserve">Qué cambia en la web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Pestañas · de informar a operar</w:t>
      </w:r>
    </w:p>
    <w:p>
      <w:pPr>
        <w:spacing w:after="40"/>
      </w:pPr>
      <w:r>
        <w:rPr>
          <w:b/>
          <w:bCs/>
          <w:color w:val="6D8189"/>
          <w:sz w:val="21"/>
          <w:szCs w:val="21"/>
        </w:rPr>
        <w:t xml:space="preserve">Antes:  </w:t>
      </w:r>
      <w:r>
        <w:rPr>
          <w:color w:val="6D8189"/>
          <w:sz w:val="21"/>
          <w:szCs w:val="21"/>
        </w:rPr>
        <w:t xml:space="preserve">SCRAP · Gestores · Poseedores · Normativa</w:t>
      </w:r>
    </w:p>
    <w:p>
      <w:pPr>
        <w:spacing w:after="140"/>
      </w:pPr>
      <w:r>
        <w:rPr>
          <w:b/>
          <w:bCs/>
          <w:color w:val="3F7F37"/>
          <w:sz w:val="21"/>
          <w:szCs w:val="21"/>
        </w:rPr>
        <w:t xml:space="preserve">Ahora:  </w:t>
      </w:r>
      <w:r>
        <w:rPr>
          <w:color w:val="152227"/>
          <w:sz w:val="21"/>
          <w:szCs w:val="21"/>
        </w:rPr>
        <w:t xml:space="preserve">El CORE · Para tu SCRAP · Poseedores · Gestores · Normativa · Contacto/OTS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Home · </w:t>
      </w:r>
      <w:r>
        <w:rPr>
          <w:color w:val="41575E"/>
          <w:sz w:val="21"/>
          <w:szCs w:val="21"/>
        </w:rPr>
        <w:t xml:space="preserve">Home: el concepto en 5 segundos — claim del CORE, diagrama de las tres piezas y accesos a SCRAPP · INPROGEST · PROBATUS. Fuera el "dos soluciones".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/el-core · </w:t>
      </w:r>
      <w:r>
        <w:rPr>
          <w:color w:val="41575E"/>
          <w:sz w:val="21"/>
          <w:szCs w:val="21"/>
        </w:rPr>
        <w:t xml:space="preserve">Página nueva "El CORE": el ecosistema que ya funciona, las tres necesidades → tres herramientas.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/para-tu-scrap · </w:t>
      </w:r>
      <w:r>
        <w:rPr>
          <w:color w:val="41575E"/>
          <w:sz w:val="21"/>
          <w:szCs w:val="21"/>
        </w:rPr>
        <w:t xml:space="preserve">Entrada propia para el perfil prioritario: homologar, controlar documentación, gestionar incentivos.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/poseedores · /gestores · </w:t>
      </w:r>
      <w:r>
        <w:rPr>
          <w:color w:val="41575E"/>
          <w:sz w:val="21"/>
          <w:szCs w:val="21"/>
        </w:rPr>
        <w:t xml:space="preserve">Se conserva el buen texto de perfil, pero cada bloque enlaza a la herramienta que lo resuelve.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/contacto (OTS) · </w:t>
      </w:r>
      <w:r>
        <w:rPr>
          <w:color w:val="41575E"/>
          <w:sz w:val="21"/>
          <w:szCs w:val="21"/>
        </w:rPr>
        <w:t xml:space="preserve">La puerta que hoy no existe: contacto, dudas y cara visible (María Izquierdo, DG de INPROECO, y Rodrigo Bueno, INPRONET Solutions).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/normativa · </w:t>
      </w:r>
      <w:r>
        <w:rPr>
          <w:color w:val="41575E"/>
          <w:sz w:val="21"/>
          <w:szCs w:val="21"/>
        </w:rPr>
        <w:t xml:space="preserve">Se mantiene y se refuerza como imán SEO: LER 15 01, obligaciones por perfil y plazos.</w:t>
      </w:r>
    </w:p>
    <w:tbl>
      <w:tblPr>
        <w:tblW w:type="dxa" w:w="9360"/>
        <w:tblBorders>
          <w:top w:val="single" w:color="B4731A" w:sz="4"/>
          <w:left w:val="single" w:color="B4731A" w:sz="4"/>
          <w:bottom w:val="single" w:color="B4731A" w:sz="4"/>
          <w:right w:val="single" w:color="B4731A" w:sz="4"/>
          <w:insideH w:val="single" w:color="B4731A" w:sz="4"/>
          <w:insideV w:val="single" w:color="B4731A" w:sz="4"/>
        </w:tblBorders>
      </w:tblPr>
      <w:tblGrid>
        <w:gridCol w:w="9360"/>
      </w:tblGrid>
      <w:tr>
        <w:tc>
          <w:tcPr>
            <w:tcW w:type="dxa" w:w="9360"/>
            <w:shd w:fill="FBF4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731A"/>
                <w:spacing w:val="20"/>
                <w:sz w:val="16"/>
                <w:szCs w:val="16"/>
              </w:rPr>
              <w:t xml:space="preserve">ADEMÁS, DE PASO · HIGIENE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Enlaces de redes del pie que hoy van a vacío: apuntar a perfiles reales o retirarlos.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Falta de &lt;title&gt; en las páginas (SEO): añadir uno propio por página.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Política de privacidad que apunta al mismo archivo que la de cookies: separarlas.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41575E"/>
                <w:sz w:val="21"/>
                <w:szCs w:val="21"/>
              </w:rPr>
              <w:t xml:space="preserve">Imágenes reales del canal industrial (bidones, IBC, palés, big bags, films), no genéricas.</w:t>
            </w:r>
          </w:p>
        </w:tc>
      </w:tr>
    </w:tbl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05  </w:t>
      </w:r>
      <w:r>
        <w:rPr>
          <w:b/>
          <w:bCs/>
          <w:color w:val="152227"/>
          <w:sz w:val="30"/>
          <w:szCs w:val="30"/>
        </w:rPr>
        <w:t xml:space="preserve">Banco de mensajes "de la calle"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Home · el concepto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El CORE de la RAP de envases. Un ecosistema que ya homologa, controla y traza lo que la norma te exige.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No te explicamos el RD 1055/2022. Te lo resolvemos.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Tú pones el SCRAP. El CORE pone el control.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Para el SCRAP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Homologa y controla a cientos de gestores sin que se te escape un papel.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Documentación defendible ante inspección, no una carpeta de PDFs sueltos.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Deja de montarte tu propia plataforma: el CORE ya está montado.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Paga el incentivo a quien toca —el poseedor— con la trazabilidad que lo justifica.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Para el poseedor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Tus residuos de envases, ordenados y a disposición de tu SCRAP. Sin teclear de más.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Cumple el RD 1055/2022 y cobra tu incentivo, sin perseguir a tu gestor.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Sigue con tus gestores de siempre. Nosotros ponemos el orden documental.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Para el gestor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Una homologación, no una por cada SCRAP.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Entrega la documentación limpia y reporta por apoderamiento. No pierdas clientes.</w:t>
      </w:r>
    </w:p>
    <w:p>
      <w:pPr>
        <w:spacing w:after="60"/>
      </w:pPr>
      <w:r>
        <w:rPr>
          <w:b/>
          <w:bCs/>
          <w:i/>
          <w:iCs/>
          <w:color w:val="6D8189"/>
          <w:sz w:val="18"/>
          <w:szCs w:val="18"/>
        </w:rPr>
        <w:t xml:space="preserve">Nota de tono: </w:t>
      </w:r>
      <w:r>
        <w:rPr>
          <w:i/>
          <w:iCs/>
          <w:color w:val="6D8189"/>
          <w:sz w:val="18"/>
          <w:szCs w:val="18"/>
        </w:rPr>
        <w:t xml:space="preserve">los mensajes finales de la web se afinan en clave neutra de portal del sector (ver documento de copy).</w:t>
      </w:r>
    </w:p>
    <w:p>
      <w:pPr>
        <w:pStyle w:val="Heading2"/>
        <w:pBdr>
          <w:top w:val="single" w:color="D7E0E0" w:sz="6" w:space="8"/>
        </w:pBdr>
        <w:spacing w:after="60" w:before="340"/>
      </w:pPr>
      <w:r>
        <w:rPr>
          <w:b/>
          <w:bCs/>
          <w:color w:val="3F7F37"/>
          <w:sz w:val="24"/>
          <w:szCs w:val="24"/>
        </w:rPr>
        <w:t xml:space="preserve">06  </w:t>
      </w:r>
      <w:r>
        <w:rPr>
          <w:b/>
          <w:bCs/>
          <w:color w:val="152227"/>
          <w:sz w:val="30"/>
          <w:szCs w:val="30"/>
        </w:rPr>
        <w:t xml:space="preserve">Cómo lo llevamos a la web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Salto 1 · El concepto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Nuevo claim, diagrama del ecosistema y las tres piezas (SCRAPP · INPROGEST · PROBATUS).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Incorporar INPROGEST como tercera herramienta del CORE.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Imágenes reales del canal industrial/comercial.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Salto 2 · El mensaje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Página "El CORE" + entrada "Para tu SCRAP".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Banco de mensajes aplicado a home y perfiles.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Puerta de contacto / OTS con cara visible.</w:t>
      </w:r>
    </w:p>
    <w:p>
      <w:pPr>
        <w:pStyle w:val="Heading3"/>
        <w:spacing w:after="40" w:before="200"/>
      </w:pPr>
      <w:r>
        <w:rPr>
          <w:b/>
          <w:bCs/>
          <w:color w:val="152227"/>
          <w:sz w:val="24"/>
          <w:szCs w:val="24"/>
        </w:rPr>
        <w:t xml:space="preserve">Salto 3 · La autoridad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Normativa viva + noticias como motor SEO y de AI search.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Escaparate de SCRAPs y casos "esto ya funciona".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1575E"/>
          <w:sz w:val="21"/>
          <w:szCs w:val="21"/>
        </w:rPr>
        <w:t xml:space="preserve">Medición de tráfico y contactos.</w:t>
      </w:r>
    </w:p>
    <w:p>
      <w:pPr>
        <w:pStyle w:val="Heading3"/>
        <w:spacing w:after="40" w:before="200"/>
      </w:pPr>
      <w:r>
        <w:rPr>
          <w:b/>
          <w:bCs/>
          <w:color w:val="3F7F37"/>
          <w:sz w:val="24"/>
          <w:szCs w:val="24"/>
        </w:rPr>
        <w:t xml:space="preserve">Decisiones tomadas (9 sep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Q1 ✓ </w:t>
      </w:r>
      <w:r>
        <w:rPr>
          <w:color w:val="41575E"/>
          <w:sz w:val="21"/>
          <w:szCs w:val="21"/>
        </w:rPr>
        <w:t xml:space="preserve">INPROGEST tendrá web propia en inprogest.com (como scrapp.es / probatus.es).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Q2 ✓ </w:t>
      </w:r>
      <w:r>
        <w:rPr>
          <w:color w:val="41575E"/>
          <w:sz w:val="21"/>
          <w:szCs w:val="21"/>
        </w:rPr>
        <w:t xml:space="preserve">Mapeo validado: PROBATUS = homologación · INPROGEST = control documental · SCRAPP = documentos e incentivos del poseedor.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52227"/>
          <w:sz w:val="21"/>
          <w:szCs w:val="21"/>
        </w:rPr>
        <w:t xml:space="preserve">Q3 ✓ </w:t>
      </w:r>
      <w:r>
        <w:rPr>
          <w:color w:val="41575E"/>
          <w:sz w:val="21"/>
          <w:szCs w:val="21"/>
        </w:rPr>
        <w:t xml:space="preserve">Tono elegido: neutro de portal del sector (autoridad y servicio, sin venta agresiva).</w:t>
      </w:r>
    </w:p>
    <w:p>
      <w:pPr>
        <w:spacing w:after="120"/>
      </w:pPr>
    </w:p>
    <w:p>
      <w:pPr>
        <w:spacing w:after="140"/>
      </w:pPr>
      <w:r>
        <w:rPr>
          <w:b/>
          <w:bCs/>
          <w:color w:val="41575E"/>
          <w:sz w:val="17"/>
          <w:szCs w:val="17"/>
        </w:rPr>
        <w:t xml:space="preserve">Pulso del sector basado en: </w:t>
      </w:r>
      <w:r>
        <w:rPr>
          <w:color w:val="6D8189"/>
          <w:sz w:val="17"/>
          <w:szCs w:val="17"/>
        </w:rPr>
        <w:t xml:space="preserve">Interempresas, RETEMA, Residuos Profesional, Acteco, CNMC y el texto consolidado del RD 1055/2022 (BOE). Antes de publicar cifras concretas conviene reconfirmar algún dato secundario en fuente oficial (MITECO).</w:t>
      </w:r>
    </w:p>
    <w:p>
      <w:pPr>
        <w:pBdr>
          <w:bottom w:val="single" w:color="D7E0E0" w:sz="4" w:space="4"/>
        </w:pBdr>
        <w:spacing w:after="80" w:before="80"/>
      </w:pPr>
    </w:p>
    <w:p>
      <w:pPr>
        <w:spacing w:after="40"/>
      </w:pPr>
      <w:r>
        <w:rPr>
          <w:b/>
          <w:bCs/>
          <w:color w:val="146079"/>
          <w:sz w:val="22"/>
          <w:szCs w:val="22"/>
        </w:rPr>
        <w:t xml:space="preserve">SCRAP</w:t>
      </w:r>
      <w:r>
        <w:rPr>
          <w:b/>
          <w:bCs/>
          <w:color w:val="3F7F37"/>
          <w:sz w:val="22"/>
          <w:szCs w:val="22"/>
        </w:rPr>
        <w:t xml:space="preserve">envases</w:t>
      </w:r>
      <w:r>
        <w:rPr>
          <w:b/>
          <w:bCs/>
          <w:color w:val="6D8189"/>
          <w:sz w:val="22"/>
          <w:szCs w:val="22"/>
        </w:rPr>
        <w:t xml:space="preserve">.com</w:t>
      </w:r>
    </w:p>
    <w:p>
      <w:pPr>
        <w:spacing w:after="140"/>
      </w:pPr>
      <w:r>
        <w:rPr>
          <w:color w:val="6D8189"/>
          <w:sz w:val="16"/>
          <w:szCs w:val="16"/>
        </w:rPr>
        <w:t xml:space="preserve">Del folleto al escaparate del CORE · Preparado para Víctor Bueno (Grupo INPWASTE) · Desarrollo INPRONET Solutions · Septiembre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2026-09-09T11:09:59.027Z</dcterms:created>
  <dcterms:modified xsi:type="dcterms:W3CDTF">2026-09-09T11:09:59.028Z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