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SUPPLEMENTARY MATERIALS</w:t>
      </w:r>
    </w:p>
    <w:p>
      <w:pPr>
        <w:spacing w:after="60" w:before="60"/>
        <w:jc w:val="center"/>
      </w:pPr>
      <w:r>
        <w:rPr>
          <w:rFonts w:ascii="Arial" w:cs="Arial" w:eastAsia="Arial" w:hAnsi="Arial"/>
          <w:b/>
          <w:bCs/>
          <w:color w:val="2E74B5"/>
          <w:sz w:val="24"/>
          <w:szCs w:val="24"/>
        </w:rPr>
        <w:t xml:space="preserve">Hydroclimatic Drivers of Banana Water Productivity Across Philippine Provinces</w:t>
      </w:r>
    </w:p>
    <w:p>
      <w:pPr>
        <w:spacing w:after="60" w:before="60"/>
        <w:jc w:val="center"/>
      </w:pPr>
      <w:r>
        <w:rPr>
          <w:rFonts w:ascii="Arial" w:cs="Arial" w:eastAsia="Arial" w:hAnsi="Arial"/>
          <w:sz w:val="20"/>
          <w:szCs w:val="20"/>
        </w:rPr>
        <w:t xml:space="preserve">Engr. Rodrigo S. David</w:t>
      </w:r>
    </w:p>
    <w:p>
      <w:pPr>
        <w:spacing w:after="60" w:before="60"/>
        <w:jc w:val="center"/>
      </w:pPr>
      <w:r>
        <w:rPr>
          <w:rFonts w:ascii="Arial" w:cs="Arial" w:eastAsia="Arial" w:hAnsi="Arial"/>
          <w:color w:val="555555"/>
          <w:sz w:val="18"/>
          <w:szCs w:val="18"/>
        </w:rPr>
        <w:t xml:space="preserve">Department of Agriculture – Regional Field Office III (DA-RFO III)</w:t>
      </w:r>
    </w:p>
    <w:p>
      <w:pPr>
        <w:spacing w:after="480" w:before="60"/>
        <w:jc w:val="center"/>
      </w:pPr>
      <w:r>
        <w:rPr>
          <w:rFonts w:ascii="Arial" w:cs="Arial" w:eastAsia="Arial" w:hAnsi="Arial"/>
          <w:color w:val="555555"/>
          <w:sz w:val="16"/>
          <w:szCs w:val="16"/>
        </w:rPr>
        <w:t xml:space="preserve">Correspondence: rodrigosdavid88@gmail.com</w:t>
      </w:r>
    </w:p>
    <w:p>
      <w:pPr>
        <w:pBdr>
          <w:bottom w:val="single" w:color="2E74B5" w:sz="4" w:space="1"/>
        </w:pBdr>
        <w:spacing w:after="60" w:before="120"/>
      </w:pPr>
      <w:r>
        <w:rPr>
          <w:rFonts w:ascii="Arial" w:cs="Arial" w:eastAsia="Arial" w:hAnsi="Arial"/>
          <w:b/>
          <w:bCs/>
          <w:color w:val="1F3864"/>
          <w:sz w:val="22"/>
          <w:szCs w:val="22"/>
        </w:rPr>
        <w:t xml:space="preserve">Contents of Supplementary Materials</w:t>
      </w:r>
    </w:p>
    <w:p>
      <w:pPr>
        <w:spacing w:after="40" w:before="60"/>
      </w:pPr>
      <w:r>
        <w:rPr>
          <w:rFonts w:ascii="Arial" w:cs="Arial" w:eastAsia="Arial" w:hAnsi="Arial"/>
          <w:color w:val="333333"/>
          <w:sz w:val="18"/>
          <w:szCs w:val="18"/>
        </w:rPr>
        <w:t xml:space="preserve">  • Table 2  —  Sensitivity Analysis Summary (Robustness Checks 1–7)</w:t>
      </w:r>
    </w:p>
    <w:p>
      <w:pPr>
        <w:spacing w:after="40" w:before="60"/>
      </w:pPr>
      <w:r>
        <w:rPr>
          <w:rFonts w:ascii="Arial" w:cs="Arial" w:eastAsia="Arial" w:hAnsi="Arial"/>
          <w:color w:val="333333"/>
          <w:sz w:val="18"/>
          <w:szCs w:val="18"/>
        </w:rPr>
        <w:t xml:space="preserve">  • Supplementary Table S1  —  PCA Component Loadings for Climate Stress Composite Variables</w:t>
      </w:r>
    </w:p>
    <w:p>
      <w:pPr>
        <w:spacing w:after="40" w:before="60"/>
      </w:pPr>
      <w:r>
        <w:rPr>
          <w:rFonts w:ascii="Arial" w:cs="Arial" w:eastAsia="Arial" w:hAnsi="Arial"/>
          <w:color w:val="333333"/>
          <w:sz w:val="18"/>
          <w:szCs w:val="18"/>
        </w:rPr>
        <w:t xml:space="preserve">  • Supplementary Table S2  —  Province Humidity Class Assignments and FAO Kc Scalar Values</w:t>
      </w:r>
    </w:p>
    <w:p>
      <w:pPr>
        <w:spacing w:after="40" w:before="60"/>
      </w:pPr>
      <w:r>
        <w:rPr>
          <w:rFonts w:ascii="Arial" w:cs="Arial" w:eastAsia="Arial" w:hAnsi="Arial"/>
          <w:color w:val="333333"/>
          <w:sz w:val="18"/>
          <w:szCs w:val="18"/>
        </w:rPr>
        <w:t xml:space="preserve">  • Supplementary Table S3  —  MODIS Pixel Counts and Cook's Distance Influence Diagnostics</w:t>
      </w:r>
    </w:p>
    <w:p>
      <w:pPr>
        <w:spacing w:after="40" w:before="60"/>
      </w:pPr>
      <w:r>
        <w:rPr>
          <w:rFonts w:ascii="Arial" w:cs="Arial" w:eastAsia="Arial" w:hAnsi="Arial"/>
          <w:color w:val="333333"/>
          <w:sz w:val="18"/>
          <w:szCs w:val="18"/>
        </w:rPr>
        <w:t xml:space="preserve">  • Supplementary Table S4  —  Random-Effects vs. Fixed-Effects Model Comparison (SEs and CIs)</w:t>
      </w:r>
    </w:p>
    <w:p>
      <w:pPr>
        <w:spacing w:after="40" w:before="60"/>
      </w:pPr>
      <w:r>
        <w:rPr>
          <w:rFonts w:ascii="Arial" w:cs="Arial" w:eastAsia="Arial" w:hAnsi="Arial"/>
          <w:color w:val="333333"/>
          <w:sz w:val="18"/>
          <w:szCs w:val="18"/>
        </w:rPr>
        <w:t xml:space="preserve">  • Supplementary File S1  —  SHAP Calibration Verification Documentation</w:t>
      </w:r>
    </w:p>
    <w:p>
      <w:r>
        <w:br w:type="page"/>
      </w:r>
    </w:p>
    <w:p>
      <w:pPr>
        <w:pStyle w:val="Heading1"/>
        <w:spacing w:after="120" w:before="300"/>
      </w:pPr>
      <w:r>
        <w:rPr>
          <w:rFonts w:ascii="Arial" w:cs="Arial" w:eastAsia="Arial" w:hAnsi="Arial"/>
          <w:b/>
          <w:bCs/>
          <w:color w:val="1F3864"/>
          <w:sz w:val="26"/>
          <w:szCs w:val="26"/>
        </w:rPr>
        <w:t xml:space="preserve">Table 2. Sensitivity Analysis Summary (Robustness Checks 1–7)</w:t>
      </w:r>
    </w:p>
    <w:p>
      <w:pPr>
        <w:spacing w:after="60" w:before="60"/>
      </w:pPr>
      <w:r>
        <w:rPr>
          <w:rFonts w:ascii="Arial" w:cs="Arial" w:eastAsia="Arial" w:hAnsi="Arial"/>
          <w:color w:val="333333"/>
          <w:sz w:val="18"/>
          <w:szCs w:val="18"/>
        </w:rPr>
        <w:t xml:space="preserve">Consolidated robustness checks across seven model specifications. Reference values (Check 1, full-sample RE LME): Rainfall Seasonality β = −0.32, Soil Moisture Deficit β = −0.41, ENSO β = −0.09. All β values from LME models unless noted. Significance: *** p &lt; .001, ** p &lt; .01, * p &lt; .05.</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0"/>
        <w:gridCol w:w="700"/>
        <w:gridCol w:w="700"/>
        <w:gridCol w:w="700"/>
        <w:gridCol w:w="700"/>
        <w:gridCol w:w="700"/>
        <w:gridCol w:w="1760"/>
      </w:tblGrid>
      <w:tr>
        <w:trPr>
          <w:tblHeader/>
        </w:trPr>
        <w:tc>
          <w:tcPr>
            <w:tcW w:type="dxa" w:w="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Check</w:t>
            </w:r>
          </w:p>
        </w:tc>
        <w:tc>
          <w:tcPr>
            <w:tcW w:type="dxa" w:w="19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Specification / Description</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 (obs.)</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Rainfall Seasonality β</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Soil Moisture Deficit β</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ENSO β</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Marginal R²</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Conditional R²</w:t>
            </w:r>
          </w:p>
        </w:tc>
        <w:tc>
          <w:tcPr>
            <w:tcW w:type="dxa" w:w="17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Notes</w:t>
            </w:r>
          </w:p>
        </w:tc>
      </w:tr>
      <w:tr>
        <w:tc>
          <w:tcPr>
            <w:tcW w:type="dxa" w:w="4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1</w:t>
            </w:r>
          </w:p>
        </w:tc>
        <w:tc>
          <w:tcPr>
            <w:tcW w:type="dxa" w:w="19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Full-sample RE LME (primary)</w:t>
            </w:r>
          </w:p>
        </w:tc>
        <w:tc>
          <w:tcPr>
            <w:tcW w:type="dxa" w:w="7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1,782</w:t>
            </w:r>
          </w:p>
        </w:tc>
        <w:tc>
          <w:tcPr>
            <w:tcW w:type="dxa" w:w="7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−0.32**</w:t>
            </w:r>
          </w:p>
        </w:tc>
        <w:tc>
          <w:tcPr>
            <w:tcW w:type="dxa" w:w="7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−0.41***</w:t>
            </w:r>
          </w:p>
        </w:tc>
        <w:tc>
          <w:tcPr>
            <w:tcW w:type="dxa" w:w="7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−0.09*</w:t>
            </w:r>
          </w:p>
        </w:tc>
        <w:tc>
          <w:tcPr>
            <w:tcW w:type="dxa" w:w="7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0.61</w:t>
            </w:r>
          </w:p>
        </w:tc>
        <w:tc>
          <w:tcPr>
            <w:tcW w:type="dxa" w:w="70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0.83</w:t>
            </w:r>
          </w:p>
        </w:tc>
        <w:tc>
          <w:tcPr>
            <w:tcW w:type="dxa" w:w="1760"/>
            <w:gridSpan w:val="1"/>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Reference specification</w:t>
            </w:r>
          </w:p>
        </w:tc>
      </w:tr>
      <w:tr>
        <w:tc>
          <w:tcPr>
            <w:tcW w:type="dxa" w:w="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2</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Rainfed sub-sample (NIA &lt;10%, n=52 prov.)</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1,092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−0.29**</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−0.38***</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−0.08*</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0.59</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0.81</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Primary robustness test; Δβ &lt;0.05</w:t>
            </w:r>
          </w:p>
        </w:tc>
      </w:tr>
      <w:tr>
        <w:tc>
          <w:tcPr>
            <w:tcW w:type="dxa" w:w="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3</w:t>
            </w:r>
          </w:p>
        </w:tc>
        <w:tc>
          <w:tcPr>
            <w:tcW w:type="dxa" w:w="1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Pandemic-year exclusion (2020–2021 removed)</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1,620</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−0.31**</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−0.40***</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0.61</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0.82</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Δβ &lt;0.02; pandemic indicator unnecessary</w:t>
            </w:r>
          </w:p>
        </w:tc>
      </w:tr>
      <w:tr>
        <w:tc>
          <w:tcPr>
            <w:tcW w:type="dxa" w:w="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4</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Fixed-effects panel model</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1,782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−0.34**</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−0.43***</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Δβ &lt;0.03 (full comparison in Table S4)</w:t>
            </w:r>
          </w:p>
        </w:tc>
      </w:tr>
      <w:tr>
        <w:tc>
          <w:tcPr>
            <w:tcW w:type="dxa" w:w="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5</w:t>
            </w:r>
          </w:p>
        </w:tc>
        <w:tc>
          <w:tcPr>
            <w:tcW w:type="dxa" w:w="1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Rolling 20-yr climate baseline (post-2010)</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1,782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−0.30**</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−0.39***</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0.82</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ρ=0.93 with fixed baseline; minimal drift effect</w:t>
            </w:r>
          </w:p>
        </w:tc>
      </w:tr>
      <w:tr>
        <w:tc>
          <w:tcPr>
            <w:tcW w:type="dxa" w:w="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6a</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MAUP sensitivity – regional scale (n=17)</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408</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−0.27*</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−0.36***</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0.58</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0.79</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Moran's I positive, significant (I=0.48, p&lt;.01)</w:t>
            </w:r>
          </w:p>
        </w:tc>
      </w:tr>
      <w:tr>
        <w:tc>
          <w:tcPr>
            <w:tcW w:type="dxa" w:w="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6b</w:t>
            </w:r>
          </w:p>
        </w:tc>
        <w:tc>
          <w:tcPr>
            <w:tcW w:type="dxa" w:w="1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MAUP sensitivity – island-group scale (n=3)</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−0.25*</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−0.33**</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0.55</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Sign/direction consistent; SEM λ consistent</w:t>
            </w:r>
          </w:p>
        </w:tc>
      </w:tr>
      <w:tr>
        <w:tc>
          <w:tcPr>
            <w:tcW w:type="dxa" w:w="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7</w:t>
            </w:r>
          </w:p>
        </w:tc>
        <w:tc>
          <w:tcPr>
            <w:tcW w:type="dxa" w:w="1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Cavendish-dominant province exclusion (&gt;60% share)</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1,548</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−0.31**</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−0.40***</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−0.08*</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0.82</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Proxy bias bounded; Δβ &lt;0.02</w:t>
            </w:r>
          </w:p>
        </w:tc>
      </w:tr>
    </w:tbl>
    <w:p>
      <w:pPr>
        <w:spacing w:after="60" w:before="120"/>
      </w:pPr>
    </w:p>
    <w:p>
      <w:pPr>
        <w:spacing w:after="80" w:before="80"/>
      </w:pPr>
      <w:r>
        <w:rPr>
          <w:rFonts w:ascii="Arial" w:cs="Arial" w:eastAsia="Arial" w:hAnsi="Arial"/>
          <w:color w:val="555555"/>
          <w:sz w:val="16"/>
          <w:szCs w:val="16"/>
        </w:rPr>
        <w:t xml:space="preserve">Note. Δβ computed as absolute difference between check specification and Check 1 reference. FE model NIA irrigation coverage absorbed by province fixed effects and cannot be estimated separately. MAUP checks use province-mean PWUEET aggregated to the relevant administrative scale; n reflects administrative units × years. Rolling baseline (Check 5) uses a 20-year rolling window for months 2011–2023 to compute deficit-day thresholds; Spearman ρ = 0.93 with fixed-baseline approach confirms threshold robustness. Rainfed threshold sensitivity at 5% (n = 38 prov.) and 15% (n = 61 prov.) confirms Δβ &lt; 0.05 for all primary predictors.</w:t>
      </w:r>
    </w:p>
    <w:p>
      <w:r>
        <w:br w:type="page"/>
      </w:r>
    </w:p>
    <w:p>
      <w:pPr>
        <w:pStyle w:val="Heading1"/>
        <w:spacing w:after="120" w:before="300"/>
      </w:pPr>
      <w:r>
        <w:rPr>
          <w:rFonts w:ascii="Arial" w:cs="Arial" w:eastAsia="Arial" w:hAnsi="Arial"/>
          <w:b/>
          <w:bCs/>
          <w:color w:val="1F3864"/>
          <w:sz w:val="26"/>
          <w:szCs w:val="26"/>
        </w:rPr>
        <w:t xml:space="preserve">Supplementary Table S1. PCA Component Loadings for Climate Stress Composite Variables</w:t>
      </w:r>
    </w:p>
    <w:p>
      <w:pPr>
        <w:spacing w:after="60" w:before="60"/>
      </w:pPr>
      <w:r>
        <w:rPr>
          <w:rFonts w:ascii="Arial" w:cs="Arial" w:eastAsia="Arial" w:hAnsi="Arial"/>
          <w:color w:val="333333"/>
          <w:sz w:val="18"/>
          <w:szCs w:val="18"/>
        </w:rPr>
        <w:t xml:space="preserve">Principal component analysis (PCA) was applied to the climate stress predictor block (rainfall seasonality CV, vapor pressure deficit, aridity index, annual mean rainfall, wet season length, dry season intensity, mean temperature, relative humidity, monthly rainfall CV, and maximum consecutive dry days) to construct orthogonalized composite scores and mitigate multicollinearity. Component loadings (pattern matrix), eigenvalues, and communalities for the three retained components (eigenvalue &gt; 1.0; total variance explained = 77.3%) are presented below. Analysis implemented in R using the psych package with oblimin rotation; presented loadings exceed |0.40|.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Variable</w:t>
            </w:r>
          </w:p>
        </w:tc>
        <w:tc>
          <w:tcPr>
            <w:tcW w:type="dxa" w:w="169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PC1
(Aridity–Heat Stress)</w:t>
            </w:r>
          </w:p>
        </w:tc>
        <w:tc>
          <w:tcPr>
            <w:tcW w:type="dxa" w:w="169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PC2
(Seasonality)</w:t>
            </w:r>
          </w:p>
        </w:tc>
        <w:tc>
          <w:tcPr>
            <w:tcW w:type="dxa" w:w="169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PC3
(VPD–Humidity)</w:t>
            </w:r>
          </w:p>
        </w:tc>
        <w:tc>
          <w:tcPr>
            <w:tcW w:type="dxa" w:w="169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Communality</w:t>
            </w:r>
          </w:p>
        </w:tc>
      </w:tr>
      <w:tr>
        <w:tc>
          <w:tcPr>
            <w:tcW w:type="dxa" w:w="2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Rainfall Seasonality (CV)</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0.81</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0.34</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−0.12</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0.79</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Vapor Pressure Deficit (VPD)</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0.18</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0.52</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0.85</w:t>
            </w:r>
          </w:p>
        </w:tc>
      </w:tr>
      <w:tr>
        <w:tc>
          <w:tcPr>
            <w:tcW w:type="dxa" w:w="2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Aridity Index (P/PET)</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−0.78</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0.27</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−0.31</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0.77</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Annual Mean Rainfall (mm)</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−0.69</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0.62</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0.86</w:t>
            </w:r>
          </w:p>
        </w:tc>
      </w:tr>
      <w:tr>
        <w:tc>
          <w:tcPr>
            <w:tcW w:type="dxa" w:w="2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Wet Season Length (months)</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−0.61</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0.71</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−0.14</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0.90</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Dry Season Intensity</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0.77</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−0.41</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0.23</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0.83</w:t>
            </w:r>
          </w:p>
        </w:tc>
      </w:tr>
      <w:tr>
        <w:tc>
          <w:tcPr>
            <w:tcW w:type="dxa" w:w="2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Mean Temperature (°C)</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0.55</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0.11</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0.87</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Relative Humidity (%)</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−0.42</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0.19</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−0.81</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0.85</w:t>
            </w:r>
          </w:p>
        </w:tc>
      </w:tr>
      <w:tr>
        <w:tc>
          <w:tcPr>
            <w:tcW w:type="dxa" w:w="2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Monthly Rainfall CV</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0.79</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0.45</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169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0.83</w:t>
            </w:r>
          </w:p>
        </w:tc>
      </w:tr>
      <w:tr>
        <w:tc>
          <w:tcPr>
            <w:tcW w:type="dxa" w:w="2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Max Consecutive Dry Days</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0.83</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−0.28</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0.31</w:t>
            </w:r>
          </w:p>
        </w:tc>
        <w:tc>
          <w:tcPr>
            <w:tcW w:type="dxa" w:w="169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0.88</w:t>
            </w:r>
          </w:p>
        </w:tc>
      </w:tr>
      <w:tr>
        <w:tc>
          <w:tcPr>
            <w:tcW w:type="dxa" w:w="26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Eigenvalue</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3.84</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2.31</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1.58</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r>
        <w:tc>
          <w:tcPr>
            <w:tcW w:type="dxa" w:w="26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Variance Explained</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38.4%</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23.1%</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15.8%</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77.3%</w:t>
            </w:r>
          </w:p>
        </w:tc>
      </w:tr>
      <w:tr>
        <w:tc>
          <w:tcPr>
            <w:tcW w:type="dxa" w:w="26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Cumulative % Variance</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38.4%</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61.5%</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77.3%</w:t>
            </w:r>
          </w:p>
        </w:tc>
        <w:tc>
          <w:tcPr>
            <w:tcW w:type="dxa" w:w="169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r>
    </w:tbl>
    <w:p>
      <w:pPr>
        <w:spacing w:after="60" w:before="120"/>
      </w:pPr>
    </w:p>
    <w:p>
      <w:pPr>
        <w:spacing w:after="80" w:before="80"/>
      </w:pPr>
      <w:r>
        <w:rPr>
          <w:rFonts w:ascii="Arial" w:cs="Arial" w:eastAsia="Arial" w:hAnsi="Arial"/>
          <w:color w:val="555555"/>
          <w:sz w:val="16"/>
          <w:szCs w:val="16"/>
        </w:rPr>
        <w:t xml:space="preserve">Note. Loadings &lt; |0.40| suppressed for clarity. Communality = proportion of variance in each variable explained by the three retained components. Rotation method: oblimin. KMO = 0.83 (meritorious); Bartlett's test of sphericity: χ²(45) = 1,847.3, p &lt; .001. PC1 is interpreted as an aridity–heat stress axis (high loadings: rainfall seasonality CV, VPD, aridity index, dry season intensity, max consecutive dry days); PC2 as a seasonality–rainfall volume axis; PC3 as a VPD–humidity contrast axis. These composite scores were used as predictors in supplementary multicollinearity-controlled specifications; main text results use the original variables with VIF-confirmed collinearity bounds (VIF max = 2.4).</w:t>
      </w:r>
    </w:p>
    <w:p>
      <w:r>
        <w:br w:type="page"/>
      </w:r>
    </w:p>
    <w:p>
      <w:pPr>
        <w:pStyle w:val="Heading1"/>
        <w:spacing w:after="120" w:before="300"/>
      </w:pPr>
      <w:r>
        <w:rPr>
          <w:rFonts w:ascii="Arial" w:cs="Arial" w:eastAsia="Arial" w:hAnsi="Arial"/>
          <w:b/>
          <w:bCs/>
          <w:color w:val="1F3864"/>
          <w:sz w:val="26"/>
          <w:szCs w:val="26"/>
        </w:rPr>
        <w:t xml:space="preserve">Supplementary Table S2. Province Humidity Class Assignments and FAO Kc Scalar Values</w:t>
      </w:r>
    </w:p>
    <w:p>
      <w:pPr>
        <w:spacing w:after="60" w:before="60"/>
      </w:pPr>
      <w:r>
        <w:rPr>
          <w:rFonts w:ascii="Arial" w:cs="Arial" w:eastAsia="Arial" w:hAnsi="Arial"/>
          <w:color w:val="333333"/>
          <w:sz w:val="18"/>
          <w:szCs w:val="18"/>
        </w:rPr>
        <w:t xml:space="preserve">Province-level humidity classification used for FAO Kc scalar (f) assignment in the PWUEET calculation. Mean annual relative humidity derived from PAGASA Climatological Normals (1981–2010), 30-year mean. Class thresholds follow FAO Irrigation and Drainage Paper 24 Table 5 humidity zone definitions. Provinces with missing humidity records (n = 4) assigned to Class 2 (modal class; marked with asterisk). Weighted provincial mean f = 0.68 ± 0.07.</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80"/>
        <w:gridCol w:w="2480"/>
      </w:tblGrid>
      <w:tr>
        <w:trPr>
          <w:tblHeader/>
        </w:trPr>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Province</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Island Group</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Mean RH (%)</w:t>
            </w:r>
          </w:p>
        </w:tc>
        <w:tc>
          <w:tcPr>
            <w:tcW w:type="dxa" w:w="16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Humidity Class</w:t>
            </w:r>
          </w:p>
        </w:tc>
        <w:tc>
          <w:tcPr>
            <w:tcW w:type="dxa" w:w="24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Kc Scalar (f)</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Abra</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74.3</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Agusan del Norte</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Agusan del Sur</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81.5</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Aklan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78.6</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Albay</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80.2</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Apayao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76.4</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Aurora</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77.8</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Bataan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71.9</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Batangas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72.4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Benguet</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65.2</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Biliran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81.3</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Bohol</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79.1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Bukidnon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77.5</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Bulacan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72.1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Cagayan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73.4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Camarines Norte</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81.7</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Camarines Sur</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Camiguin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83.6</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Capiz</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78.2</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Catanduanes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83.1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Cavite</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71.6</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Cebu</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76.8</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Compostela Valley</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82.9</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Cotabato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75.3</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Davao del Norte</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81.8</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Davao del Sur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80.7</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Davao Occidental</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79.4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Davao Oriental</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83.5</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Dinagat Islands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82.2</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Eastern Samar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84.1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Guimaras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77.9</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Ifugao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67.4</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Ilocos Norte</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69.8</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Ilocos Sur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68.5</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Iloilo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Isabela</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74.6</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Kalinga</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66.3</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La Union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71.2</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Laguna</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73.8</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Lanao del Norte</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78.9</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Lanao del Sur</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79.6</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Leyte</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81.6</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Maguindanao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76.2</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Masbate</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77.3</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Misamis Occidental</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80.3</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Misamis Oriental</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Mountain Province</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64.7</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Negros Occidental</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76.5</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Negros Oriental</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77.1</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Northern Samar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83.3</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Nueva Ecija</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71.5</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Nueva Vizcaya</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69.1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Occidental Mindoro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75.7</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Oriental Mindoro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76.9</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Palawan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78.8</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Pampanga</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70.4</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Pangasinan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70.9</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Quezon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79.5</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Quirino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72.7</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Rizal</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72.3</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Romblon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76.1</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Samar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83.8</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Sarangani</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78.1</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Shariff Kabunsuan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74.8</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Siquijor</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75.4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Sorsogon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82.6</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South Cotabato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76.8</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Southern Leyte</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82.7</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Sultan Kudarat</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75.9</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Sulu</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80.5</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Surigao del Norte</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83.4</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Surigao del Sur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82.3</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Tarlac</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68.9</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Tawi-Tawi</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81.4</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Zamboanga del Norte</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79.2</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Zamboanga del Sur</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78.7</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Zamboanga Sibugay</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77.6</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Batanes</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80.1</w:t>
            </w:r>
          </w:p>
        </w:tc>
        <w:tc>
          <w:tcPr>
            <w:tcW w:type="dxa" w:w="16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w:t>
            </w:r>
          </w:p>
        </w:tc>
        <w:tc>
          <w:tcPr>
            <w:tcW w:type="dxa" w:w="2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r>
      <w:tr>
        <w:tc>
          <w:tcPr>
            <w:tcW w:type="dxa" w:w="2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Aurora (missing RH)</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14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6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w:t>
            </w:r>
          </w:p>
        </w:tc>
        <w:tc>
          <w:tcPr>
            <w:tcW w:type="dxa" w:w="2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r>
      <w:tr>
        <w:tc>
          <w:tcPr>
            <w:tcW w:type="dxa" w:w="2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Class 1 Total (≥80% RH)</w:t>
            </w:r>
          </w:p>
        </w:tc>
        <w:tc>
          <w:tcPr>
            <w:tcW w:type="dxa" w:w="1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1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≥80.0</w:t>
            </w:r>
          </w:p>
        </w:tc>
        <w:tc>
          <w:tcPr>
            <w:tcW w:type="dxa" w:w="16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31 provinces</w:t>
            </w:r>
          </w:p>
        </w:tc>
        <w:tc>
          <w:tcPr>
            <w:tcW w:type="dxa" w:w="2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 = 0.76 (humid)</w:t>
            </w:r>
          </w:p>
        </w:tc>
      </w:tr>
      <w:tr>
        <w:tc>
          <w:tcPr>
            <w:tcW w:type="dxa" w:w="2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Class 2 Total (70–79% RH)</w:t>
            </w:r>
          </w:p>
        </w:tc>
        <w:tc>
          <w:tcPr>
            <w:tcW w:type="dxa" w:w="1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1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70.0–79.9</w:t>
            </w:r>
          </w:p>
        </w:tc>
        <w:tc>
          <w:tcPr>
            <w:tcW w:type="dxa" w:w="16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35 provinces</w:t>
            </w:r>
          </w:p>
        </w:tc>
        <w:tc>
          <w:tcPr>
            <w:tcW w:type="dxa" w:w="2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 = 0.68 (sub-humid)</w:t>
            </w:r>
          </w:p>
        </w:tc>
      </w:tr>
      <w:tr>
        <w:tc>
          <w:tcPr>
            <w:tcW w:type="dxa" w:w="2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Class 3 Total (&lt;70% RH)</w:t>
            </w:r>
          </w:p>
        </w:tc>
        <w:tc>
          <w:tcPr>
            <w:tcW w:type="dxa" w:w="1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14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&lt;70.0</w:t>
            </w:r>
          </w:p>
        </w:tc>
        <w:tc>
          <w:tcPr>
            <w:tcW w:type="dxa" w:w="16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 provinces</w:t>
            </w:r>
          </w:p>
        </w:tc>
        <w:tc>
          <w:tcPr>
            <w:tcW w:type="dxa" w:w="2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 = 0.60 (semi-arid)</w:t>
            </w:r>
          </w:p>
        </w:tc>
      </w:tr>
    </w:tbl>
    <w:p>
      <w:pPr>
        <w:spacing w:after="60" w:before="120"/>
      </w:pPr>
    </w:p>
    <w:p>
      <w:pPr>
        <w:spacing w:after="80" w:before="80"/>
      </w:pPr>
      <w:r>
        <w:rPr>
          <w:rFonts w:ascii="Arial" w:cs="Arial" w:eastAsia="Arial" w:hAnsi="Arial"/>
          <w:color w:val="555555"/>
          <w:sz w:val="16"/>
          <w:szCs w:val="16"/>
        </w:rPr>
        <w:t xml:space="preserve">Note. Class 1 (Humid): mean RH ≥ 80%, Kc = 0.76, n = 31 provinces. Class 2 (Sub-humid): mean RH 70–79%, Kc = 0.68, n = 35 provinces (includes 4 provinces assigned by modal-class default, marked *). Class 3 (Semi-arid): mean RH &lt; 70%, Kc = 0.60, n = 15 provinces. Note that selected provinces shown above include the full sample of n = 81; full provincial roster is presented; provinces with missing PAGASA humidity records received modal class assignment per protocol described in §2.3. Provincial RH values rounded to one decimal place. Source: PAGASA Climatological Normals (1981–2010), accessed January 2024.</w:t>
      </w:r>
    </w:p>
    <w:p>
      <w:r>
        <w:br w:type="page"/>
      </w:r>
    </w:p>
    <w:p>
      <w:pPr>
        <w:pStyle w:val="Heading1"/>
        <w:spacing w:after="120" w:before="300"/>
      </w:pPr>
      <w:r>
        <w:rPr>
          <w:rFonts w:ascii="Arial" w:cs="Arial" w:eastAsia="Arial" w:hAnsi="Arial"/>
          <w:b/>
          <w:bCs/>
          <w:color w:val="1F3864"/>
          <w:sz w:val="26"/>
          <w:szCs w:val="26"/>
        </w:rPr>
        <w:t xml:space="preserve">Supplementary Table S3. MODIS Pixel Counts and Cook's Distance Influence Diagnostics</w:t>
      </w:r>
    </w:p>
    <w:p>
      <w:pPr>
        <w:spacing w:after="60" w:before="60"/>
      </w:pPr>
      <w:r>
        <w:rPr>
          <w:rFonts w:ascii="Arial" w:cs="Arial" w:eastAsia="Arial" w:hAnsi="Arial"/>
          <w:color w:val="333333"/>
          <w:sz w:val="18"/>
          <w:szCs w:val="18"/>
        </w:rPr>
        <w:t xml:space="preserve">Province-level MODIS MOD16A2 valid pixel counts (after quality filtering; 500 m resolution, 8-day composites aggregated to growing-season means; gap-filled using MOD16A2GF). Provinces with ≤ 300 valid pixels flagged (n = 7; highlighted in amber). Cook's distance computed from the province-level validation regression of PWUEET on MODIS AET (n = 81). Threshold: Cook's D &gt; 4/n = 0.049. Three provinces exceeded the threshold; their exclusion reduced the validation r from 0.76 (95% CI: 0.58–0.88) to 0.74 (95% CI: 0.55–0.87), confirming non-decisive leverage.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50"/>
        <w:gridCol w:w="950"/>
        <w:gridCol w:w="700"/>
        <w:gridCol w:w="800"/>
        <w:gridCol w:w="800"/>
        <w:gridCol w:w="700"/>
        <w:gridCol w:w="800"/>
        <w:gridCol w:w="1860"/>
      </w:tblGrid>
      <w:tr>
        <w:trPr>
          <w:tblHeader/>
        </w:trPr>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Province</w:t>
            </w:r>
          </w:p>
        </w:tc>
        <w:tc>
          <w:tcPr>
            <w:tcW w:type="dxa" w:w="95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Island Group</w:t>
            </w:r>
          </w:p>
        </w:tc>
        <w:tc>
          <w:tcPr>
            <w:tcW w:type="dxa" w:w="95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Humidity Class</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Kc (f)</w:t>
            </w:r>
          </w:p>
        </w:tc>
        <w:tc>
          <w:tcPr>
            <w:tcW w:type="dxa" w:w="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Valid MODIS Pixels</w:t>
            </w:r>
          </w:p>
        </w:tc>
        <w:tc>
          <w:tcPr>
            <w:tcW w:type="dxa" w:w="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Cook's D</w:t>
            </w:r>
          </w:p>
        </w:tc>
        <w:tc>
          <w:tcPr>
            <w:tcW w:type="dxa" w:w="7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Low Pixel (≤300)</w:t>
            </w:r>
          </w:p>
        </w:tc>
        <w:tc>
          <w:tcPr>
            <w:tcW w:type="dxa" w:w="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Exceeds Cook's Threshold (4/n)</w:t>
            </w:r>
          </w:p>
        </w:tc>
        <w:tc>
          <w:tcPr>
            <w:tcW w:type="dxa" w:w="18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Validation r (Excl. Province)</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Batanes</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124</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0.19</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 (0.55–0.87)</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Camiguin</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187</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0.16</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 (0.55–0.87)</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Dinagat Islands</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214</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0.12</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Guimaras</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241</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0.21</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 (0.55–0.87)</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Siquijor</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268</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0.14</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 (0.55–0.87)</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Biliran</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289</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0.18</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Shariff Kabunsuan</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297</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7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Yes</w:t>
            </w:r>
          </w:p>
        </w:tc>
        <w:tc>
          <w:tcPr>
            <w:tcW w:type="dxa" w:w="8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0.74 (0.55–0.87)</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Davao del Norte</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8,916</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Davao del Sur</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7,243</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Cotabato</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6,834</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Bukidnon</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6,412</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0.06</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Cagayan</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5,987</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Isabela</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5,674</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Palawan</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5,312</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Leyte</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4,891</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Samar</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4,563</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Negros Occidental</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4,217</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0.06</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Negros Oriental</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3,984</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South Cotabato</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3,756</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Iloilo</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Visayas</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3,421</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Sultan Kudarat</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3,189</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0.06</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Zamboanga del Norte</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2,987</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Surigao del Sur</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2,743</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Surigao del Norte</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Mindanao</w:t>
            </w:r>
          </w:p>
        </w:tc>
        <w:tc>
          <w:tcPr>
            <w:tcW w:type="dxa" w:w="95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1</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0.76</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2,512</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Aurora</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Luzon</w:t>
            </w:r>
          </w:p>
        </w:tc>
        <w:tc>
          <w:tcPr>
            <w:tcW w:type="dxa" w:w="95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Class 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0.68</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1,842*</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0.08</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No</w:t>
            </w:r>
          </w:p>
        </w:tc>
        <w:tc>
          <w:tcPr>
            <w:tcW w:type="dxa" w:w="18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Summary Statistics</w:t>
            </w:r>
          </w:p>
        </w:tc>
        <w:tc>
          <w:tcPr>
            <w:tcW w:type="dxa" w:w="95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95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7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Mean = 1,842
Range: 124–8,916</w:t>
            </w:r>
          </w:p>
        </w:tc>
        <w:tc>
          <w:tcPr>
            <w:tcW w:type="dxa" w:w="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7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 = 7</w:t>
            </w:r>
          </w:p>
        </w:tc>
        <w:tc>
          <w:tcPr>
            <w:tcW w:type="dxa" w:w="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 = 3</w:t>
            </w:r>
          </w:p>
        </w:tc>
        <w:tc>
          <w:tcPr>
            <w:tcW w:type="dxa" w:w="186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 = 0.74 (0.55–0.87)</w:t>
            </w:r>
          </w:p>
        </w:tc>
      </w:tr>
    </w:tbl>
    <w:p>
      <w:pPr>
        <w:spacing w:after="60" w:before="120"/>
      </w:pPr>
    </w:p>
    <w:p>
      <w:pPr>
        <w:spacing w:after="80" w:before="80"/>
      </w:pPr>
      <w:r>
        <w:rPr>
          <w:rFonts w:ascii="Arial" w:cs="Arial" w:eastAsia="Arial" w:hAnsi="Arial"/>
          <w:color w:val="555555"/>
          <w:sz w:val="16"/>
          <w:szCs w:val="16"/>
        </w:rPr>
        <w:t xml:space="preserve">Note. Selected provinces shown include all 7 low-pixel provinces (≤300 valid MODIS pixels; amber rows) and a representative sample of standard-pixel provinces. Full province-level pixel counts are available in the GitHub repository (https://github.com/RS-David/PH_Banana_WUE_Model). The asterisk on Aurora mean pixel count reflects inclusion in the modal-class RH assignment. Cook's D threshold = 4/n where n = 81 (threshold = 0.049). Provinces exceeding Cook's D threshold (n = 3; Dinagat Islands, Biliran, and one additional province) showed moderate leverage; their exclusion effect on validation r is confirmed non-decisive (Δr = 0.02, within bootstrap CI bounds). Source: MODIS MOD16A2 / MOD16A2GF via NASA EARTHDATA, processed using pyModis v2.1 and Python 3.11.</w:t>
      </w:r>
    </w:p>
    <w:p>
      <w:r>
        <w:br w:type="page"/>
      </w:r>
    </w:p>
    <w:p>
      <w:pPr>
        <w:pStyle w:val="Heading1"/>
        <w:spacing w:after="120" w:before="300"/>
      </w:pPr>
      <w:r>
        <w:rPr>
          <w:rFonts w:ascii="Arial" w:cs="Arial" w:eastAsia="Arial" w:hAnsi="Arial"/>
          <w:b/>
          <w:bCs/>
          <w:color w:val="1F3864"/>
          <w:sz w:val="26"/>
          <w:szCs w:val="26"/>
        </w:rPr>
        <w:t xml:space="preserve">Supplementary Table S4. Random-Effects vs. Fixed-Effects Model Comparison</w:t>
      </w:r>
    </w:p>
    <w:p>
      <w:pPr>
        <w:spacing w:after="60" w:before="60"/>
      </w:pPr>
      <w:r>
        <w:rPr>
          <w:rFonts w:ascii="Arial" w:cs="Arial" w:eastAsia="Arial" w:hAnsi="Arial"/>
          <w:color w:val="333333"/>
          <w:sz w:val="18"/>
          <w:szCs w:val="18"/>
        </w:rPr>
        <w:t xml:space="preserve">Full coefficient comparison between Random-Effects (RE) and Fixed-Effects (FE) linear panel model specifications for the primary LME model (n = 1,782 province-year observations; 81 provinces × 24 years minus missing records). Hausman test χ² = 14.2 (p = .08) falls in the conventional ambiguity zone (0.05–0.10), precluding unambiguous selection under α = .05. RE is retained as the primary reporting model on the basis of lower AIC (ΔAIC = 45.7) and the theoretical justification that province-level agro-ecological characteristics are unlikely to be systematically correlated with time-varying hydroclimatic predictors. Coefficient discrepancies Δβ &lt; 0.03 for all primary predictors confirm materially equivalent inference under both specifications.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0"/>
        <w:gridCol w:w="480"/>
        <w:gridCol w:w="900"/>
        <w:gridCol w:w="480"/>
        <w:gridCol w:w="480"/>
        <w:gridCol w:w="480"/>
        <w:gridCol w:w="900"/>
        <w:gridCol w:w="480"/>
        <w:gridCol w:w="480"/>
        <w:gridCol w:w="700"/>
      </w:tblGrid>
      <w:tr>
        <w:trPr>
          <w:tblHeader/>
        </w:trPr>
        <w:tc>
          <w:tcPr>
            <w:tcW w:type="dxa" w:w="15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Parameter</w:t>
            </w:r>
          </w:p>
        </w:tc>
        <w:tc>
          <w:tcPr>
            <w:tcW w:type="dxa" w:w="3840"/>
            <w:gridSpan w:val="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Random Effects (RE) Model</w:t>
            </w:r>
          </w:p>
        </w:tc>
        <w:tc>
          <w:tcPr>
            <w:tcW w:type="dxa" w:w="3840"/>
            <w:gridSpan w:val="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Fixed Effects (FE) Model</w:t>
            </w:r>
          </w:p>
        </w:tc>
        <w:tc>
          <w:tcPr>
            <w:tcW w:type="dxa" w:w="1180"/>
            <w:gridSpan w:val="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Coefficient Discrepancy (Δβ)</w:t>
            </w:r>
          </w:p>
        </w:tc>
      </w:tr>
      <w:tr>
        <w:trPr>
          <w:tblHeader/>
        </w:trPr>
        <w:tc>
          <w:tcPr>
            <w:tcW w:type="dxa" w:w="150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β</w:t>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SE</w:t>
            </w:r>
          </w:p>
        </w:tc>
        <w:tc>
          <w:tcPr>
            <w:tcW w:type="dxa" w:w="90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95% CI</w:t>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w:t>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β</w:t>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SE</w:t>
            </w:r>
          </w:p>
        </w:tc>
        <w:tc>
          <w:tcPr>
            <w:tcW w:type="dxa" w:w="90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95% CI</w:t>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p</w:t>
            </w:r>
          </w:p>
        </w:tc>
        <w:tc>
          <w:tcPr>
            <w:tcW w:type="dxa" w:w="48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|Δβ|</w:t>
            </w:r>
          </w:p>
        </w:tc>
        <w:tc>
          <w:tcPr>
            <w:tcW w:type="dxa" w:w="700"/>
            <w:gridSpan w:val="1"/>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Significance</w:t>
            </w:r>
          </w:p>
        </w:tc>
      </w:tr>
      <w:tr>
        <w:tc>
          <w:tcPr>
            <w:tcW w:type="dxa" w:w="15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Intercept</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1.42</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0.11</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1.21, 1.63</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&lt;.001</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1.38</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0.13</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1.13, 1.63</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&lt;.001</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&lt;0.05</w:t>
            </w:r>
          </w:p>
        </w:tc>
      </w:tr>
      <w:tr>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Rainfall Seasonality (CV)</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−0.32</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−0.48, −0.16</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−0.34</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0.10</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−0.52, −0.16</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0.02</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n.s.</w:t>
            </w:r>
          </w:p>
        </w:tc>
      </w:tr>
      <w:tr>
        <w:tc>
          <w:tcPr>
            <w:tcW w:type="dxa" w:w="15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Soil Moisture Deficit Days</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−0.41</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−0.59, −0.23</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&lt;.001</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−0.43</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0.08</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−0.60, −0.26</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&lt;.001</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n.s.</w:t>
            </w:r>
          </w:p>
        </w:tc>
      </w:tr>
      <w:tr>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VPD Anomaly</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−0.18</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0.06</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−0.28, −0.08</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−0.19</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−0.31, −0.07</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0.01</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n.s.</w:t>
            </w:r>
          </w:p>
        </w:tc>
      </w:tr>
      <w:tr>
        <w:tc>
          <w:tcPr>
            <w:tcW w:type="dxa" w:w="15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Soil Drainage Class</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0.24</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0.08</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0.09, 0.39</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&lt;.01</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0.22</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0.05, 0.39</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&lt;.05</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0.02</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n.s.</w:t>
            </w:r>
          </w:p>
        </w:tc>
      </w:tr>
      <w:tr>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ENSO Index (MEI.v2)</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−0.15, −0.03</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&lt;.05</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−0.14, −0.04</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&lt;.05</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0.00</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n.s.</w:t>
            </w:r>
          </w:p>
        </w:tc>
      </w:tr>
      <w:tr>
        <w:tc>
          <w:tcPr>
            <w:tcW w:type="dxa" w:w="15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NIA Irrigation Coverage</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0.13</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0.03, 0.23</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&lt;.05</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9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Absorbed by FE</w:t>
            </w:r>
          </w:p>
        </w:tc>
        <w:tc>
          <w:tcPr>
            <w:tcW w:type="dxa" w:w="48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7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r>
      <w:tr>
        <w:tc>
          <w:tcPr>
            <w:tcW w:type="dxa" w:w="15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Pandemic Year (2020–2021)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−0.06</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−0.14, 0.02</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.14</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−0.07</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9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−0.14, 0.01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.11</w:t>
            </w:r>
          </w:p>
        </w:tc>
        <w:tc>
          <w:tcPr>
            <w:tcW w:type="dxa" w:w="48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0.01</w:t>
            </w:r>
          </w:p>
        </w:tc>
        <w:tc>
          <w:tcPr>
            <w:tcW w:type="dxa" w:w="7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n.s.</w:t>
            </w:r>
          </w:p>
        </w:tc>
      </w:tr>
      <w:tr>
        <w:tc>
          <w:tcPr>
            <w:tcW w:type="dxa" w:w="1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AIC</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2,341.7</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2,387.4</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45.7</w:t>
            </w:r>
          </w:p>
        </w:tc>
        <w:tc>
          <w:tcPr>
            <w:tcW w:type="dxa" w:w="7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RE preferred</w:t>
            </w:r>
          </w:p>
        </w:tc>
      </w:tr>
      <w:tr>
        <w:tc>
          <w:tcPr>
            <w:tcW w:type="dxa" w:w="1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BIC</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2,398.2</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2,441.8</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9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48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43.6</w:t>
            </w:r>
          </w:p>
        </w:tc>
        <w:tc>
          <w:tcPr>
            <w:tcW w:type="dxa" w:w="7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RE preferred</w:t>
            </w:r>
          </w:p>
        </w:tc>
      </w:tr>
      <w:tr>
        <w:tc>
          <w:tcPr>
            <w:tcW w:type="dxa" w:w="15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Hausman Test χ²</w:t>
            </w:r>
          </w:p>
        </w:tc>
        <w:tc>
          <w:tcPr>
            <w:tcW w:type="dxa" w:w="3840"/>
            <w:gridSpan w:val="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14.2 (p = .08; ambiguous zone)</w:t>
            </w:r>
          </w:p>
        </w:tc>
        <w:tc>
          <w:tcPr>
            <w:tcW w:type="dxa" w:w="3840"/>
            <w:gridSpan w:val="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1180"/>
            <w:gridSpan w:val="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Δβ &lt; 0.03 for all primary predictors</w:t>
            </w:r>
          </w:p>
        </w:tc>
      </w:tr>
    </w:tbl>
    <w:p>
      <w:pPr>
        <w:spacing w:after="60" w:before="120"/>
      </w:pPr>
    </w:p>
    <w:p>
      <w:pPr>
        <w:spacing w:after="80" w:before="80"/>
      </w:pPr>
      <w:r>
        <w:rPr>
          <w:rFonts w:ascii="Arial" w:cs="Arial" w:eastAsia="Arial" w:hAnsi="Arial"/>
          <w:color w:val="555555"/>
          <w:sz w:val="16"/>
          <w:szCs w:val="16"/>
        </w:rPr>
        <w:t xml:space="preserve">Note. SE = Robust cluster-bootstrapped standard error (clustered on province). 95% CI computed from the robust SEs. p-values from Wald tests. FE model NIA Irrigation Coverage is absorbed by province fixed effects and cannot be separately identified. Significance column in the Δβ block tests whether the difference in coefficients between RE and FE is statistically significant (Hausman-type test for individual parameters); n.s. = not significant, confirming equivalent inference. RE model: lmer(PWUEET ~ fixed effects + (1|Province) + (1|Year), data = panel_data, REML = FALSE) via lme4 v1.1-35. FE model: plm(PWUEET ~ fixed effects, data = panel_data, model = 'within', effect = 'twoways') via plm v2.6-3. Both models estimated in R v4.3.2.</w:t>
      </w:r>
    </w:p>
    <w:p>
      <w:r>
        <w:br w:type="page"/>
      </w:r>
    </w:p>
    <w:p>
      <w:pPr>
        <w:pStyle w:val="Heading1"/>
        <w:spacing w:after="120" w:before="300"/>
      </w:pPr>
      <w:r>
        <w:rPr>
          <w:rFonts w:ascii="Arial" w:cs="Arial" w:eastAsia="Arial" w:hAnsi="Arial"/>
          <w:b/>
          <w:bCs/>
          <w:color w:val="1F3864"/>
          <w:sz w:val="26"/>
          <w:szCs w:val="26"/>
        </w:rPr>
        <w:t xml:space="preserve">Supplementary File S1. SHAP Calibration Verification Documentation</w:t>
      </w:r>
    </w:p>
    <w:p>
      <w:pPr>
        <w:spacing w:after="60" w:before="120"/>
      </w:pPr>
      <w:r>
        <w:rPr>
          <w:rFonts w:ascii="Arial" w:cs="Arial" w:eastAsia="Arial" w:hAnsi="Arial"/>
          <w:b/>
          <w:bCs/>
          <w:color w:val="2E74B5"/>
          <w:sz w:val="22"/>
          <w:szCs w:val="22"/>
        </w:rPr>
        <w:t xml:space="preserve">S1.1  Purpose and Scope of External Verification</w:t>
      </w:r>
    </w:p>
    <w:p>
      <w:pPr>
        <w:spacing w:after="60" w:before="60"/>
      </w:pPr>
      <w:r>
        <w:rPr>
          <w:rFonts w:ascii="Arial" w:cs="Arial" w:eastAsia="Arial" w:hAnsi="Arial"/>
          <w:color w:val="333333"/>
          <w:sz w:val="18"/>
          <w:szCs w:val="18"/>
        </w:rPr>
        <w:t xml:space="preserve">This supplementary file documents the independent external verification of SHAP (SHapley Additive exPlanations) value unit calibration for the XGBoost model reported in §2.4 and §3.4 of the main manuscript. The verification was conducted by a consulting agricultural econometrician from the Department of Agricultural Systems and Management, Central Luzon State University (CLSU), in accordance with the scope of consultation described in §2.5 and the Acknowledgments.</w:t>
      </w:r>
    </w:p>
    <w:p>
      <w:pPr>
        <w:spacing w:after="60" w:before="60"/>
      </w:pPr>
      <w:r>
        <w:rPr>
          <w:rFonts w:ascii="Arial" w:cs="Arial" w:eastAsia="Arial" w:hAnsi="Arial"/>
          <w:color w:val="333333"/>
          <w:sz w:val="18"/>
          <w:szCs w:val="18"/>
        </w:rPr>
        <w:t xml:space="preserve">The specific claim subject to verification is: 'SHAP values are reported in t ha⁻¹ mm⁻¹ units. Predictor variables were not standardized prior to XGBoost fitting; the model was trained on original-scale predictors, so SHAP values are in the outcome variable's units.' (Main text, §2.4, Model 2). This documentation confirms that the unstandardized training procedure produces directly interpretable SHAP magnitudes in t ha⁻¹ mm⁻¹, enabling quantitative comparison with LME β coefficients without rescaling.</w:t>
      </w:r>
    </w:p>
    <w:p>
      <w:pPr>
        <w:spacing w:after="60" w:before="120"/>
      </w:pPr>
      <w:r>
        <w:rPr>
          <w:rFonts w:ascii="Arial" w:cs="Arial" w:eastAsia="Arial" w:hAnsi="Arial"/>
          <w:b/>
          <w:bCs/>
          <w:color w:val="2E74B5"/>
          <w:sz w:val="22"/>
          <w:szCs w:val="22"/>
        </w:rPr>
        <w:t xml:space="preserve">S1.2  Technical Basis for Unit Calibration</w:t>
      </w:r>
    </w:p>
    <w:p>
      <w:pPr>
        <w:spacing w:after="60" w:before="60"/>
      </w:pPr>
      <w:r>
        <w:rPr>
          <w:rFonts w:ascii="Arial" w:cs="Arial" w:eastAsia="Arial" w:hAnsi="Arial"/>
          <w:color w:val="333333"/>
          <w:sz w:val="18"/>
          <w:szCs w:val="18"/>
        </w:rPr>
        <w:t xml:space="preserve">The SHAP value decomposition for any prediction f(x) satisfies the property: f(x) = E[f(X)] + Σᵢ φᵢ, where φᵢ are the SHAP values for each predictor i. When the response variable (PWUEET) is in units of t ha⁻¹ mm⁻¹ and predictor variables are entered in their original scales (no z-score or min-max normalization), the SHAP values φᵢ are expressed in the same units as the response variable (t ha⁻¹ mm⁻¹) by construction of the additive decomposition.</w:t>
      </w:r>
    </w:p>
    <w:p>
      <w:pPr>
        <w:spacing w:after="60" w:before="60"/>
      </w:pPr>
      <w:r>
        <w:rPr>
          <w:rFonts w:ascii="Arial" w:cs="Arial" w:eastAsia="Arial" w:hAnsi="Arial"/>
          <w:color w:val="333333"/>
          <w:sz w:val="18"/>
          <w:szCs w:val="18"/>
        </w:rPr>
        <w:t xml:space="preserve">This property holds regardless of predictor scales and does not require standardization. The mean absolute SHAP values (mean |SHAP|) reported in the main text represent the average contribution of each predictor to the absolute deviation of PWUEET predictions from the global mean, expressed in t ha⁻¹ mm⁻¹. This enables direct comparison with LME fixed-effect β coefficients (which represent marginal effects per unit change in each predictor, in t ha⁻¹ mm⁻¹) at the level of attribution magnitude, subject to the caveat that SHAP values capture non-linear and interaction effects while β coefficients reflect marginal linear effects.</w:t>
      </w:r>
    </w:p>
    <w:p>
      <w:pPr>
        <w:spacing w:after="60" w:before="120"/>
      </w:pPr>
      <w:r>
        <w:rPr>
          <w:rFonts w:ascii="Arial" w:cs="Arial" w:eastAsia="Arial" w:hAnsi="Arial"/>
          <w:b/>
          <w:bCs/>
          <w:color w:val="2E74B5"/>
          <w:sz w:val="22"/>
          <w:szCs w:val="22"/>
        </w:rPr>
        <w:t xml:space="preserve">S1.3  Verification Procedure and Findings</w:t>
      </w:r>
    </w:p>
    <w:p>
      <w:pPr>
        <w:spacing w:after="60" w:before="60"/>
      </w:pPr>
      <w:r>
        <w:rPr>
          <w:rFonts w:ascii="Arial" w:cs="Arial" w:eastAsia="Arial" w:hAnsi="Arial"/>
          <w:color w:val="333333"/>
          <w:sz w:val="18"/>
          <w:szCs w:val="18"/>
        </w:rPr>
        <w:t xml:space="preserve">The external verifier reviewed the following analytical artifacts: (1) the XGBoost training code (available at https://github.com/RS-David/PH_Banana_WUE_Model/xgboost_model.py); (2) the SHAP computation code and SHAP value output array; (3) the XGBoost model object confirming absence of predictor standardization in the preprocessing pipeline; and (4) a unit consistency check comparing SHAP baseline values (E[f(X)] = 1.29 t ha⁻¹ mm⁻¹, consistent with the sample mean PWUEET of 1.31 ± 0.42 t ha⁻¹ mm⁻¹) against the reported manuscript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Predictor</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Mean |SHAP| (t ha⁻¹ mm⁻¹)</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LME |β| (t ha⁻¹ mm⁻¹ per unit predictor)</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SHAP/β Ratio</w:t>
            </w:r>
          </w:p>
        </w:tc>
        <w:tc>
          <w:tcPr>
            <w:tcW w:type="dxa" w:w="17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Verification Status</w:t>
            </w:r>
          </w:p>
        </w:tc>
      </w:tr>
      <w:tr>
        <w:tc>
          <w:tcPr>
            <w:tcW w:type="dxa" w:w="2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Rainfall Seasonality (CV)</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0.18</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0.32</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0.56</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Soil Drainage Class</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0.14</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0.24</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0.58</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w:t>
            </w:r>
          </w:p>
        </w:tc>
      </w:tr>
      <w:tr>
        <w:tc>
          <w:tcPr>
            <w:tcW w:type="dxa" w:w="2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VPD Anomaly</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0.11</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0.18</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0.61</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Growing Season Length</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0.08</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 with sign</w:t>
            </w:r>
          </w:p>
        </w:tc>
      </w:tr>
      <w:tr>
        <w:tc>
          <w:tcPr>
            <w:tcW w:type="dxa" w:w="2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ENSO Index (MEI.v2)</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0.06</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0.09</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0.67</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NIA Irrigation Coverage</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0.05</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0.13</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0.38</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 (non-linear dampening noted)</w:t>
            </w:r>
          </w:p>
        </w:tc>
      </w:tr>
      <w:tr>
        <w:tc>
          <w:tcPr>
            <w:tcW w:type="dxa" w:w="28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Soil Organic Carbon</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0.04</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60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760"/>
            <w:gridSpan w:val="1"/>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 with sign</w:t>
            </w:r>
          </w:p>
        </w:tc>
      </w:tr>
      <w:tr>
        <w:tc>
          <w:tcPr>
            <w:tcW w:type="dxa" w:w="28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7"/>
                <w:szCs w:val="17"/>
              </w:rPr>
              <w:t xml:space="preserve">Soil Texture (clay %)</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0.03</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60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w:t>
            </w:r>
          </w:p>
        </w:tc>
        <w:tc>
          <w:tcPr>
            <w:tcW w:type="dxa" w:w="17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17"/>
                <w:szCs w:val="17"/>
              </w:rPr>
              <w:t xml:space="preserve">Consistent with sign</w:t>
            </w:r>
          </w:p>
        </w:tc>
      </w:tr>
    </w:tbl>
    <w:p>
      <w:pPr>
        <w:spacing w:after="60" w:before="80"/>
      </w:pPr>
    </w:p>
    <w:p>
      <w:pPr>
        <w:spacing w:after="80" w:before="80"/>
      </w:pPr>
      <w:r>
        <w:rPr>
          <w:rFonts w:ascii="Arial" w:cs="Arial" w:eastAsia="Arial" w:hAnsi="Arial"/>
          <w:color w:val="555555"/>
          <w:sz w:val="16"/>
          <w:szCs w:val="16"/>
        </w:rPr>
        <w:t xml:space="preserve">Note. SHAP values from unstandardized XGBoost (max_depth = 4, eta = 0.05, nrounds = 300; spatial block CV). LME |β| from Table 1. SHAP/β ratios &lt; 1 reflect non-linear effect compression, interaction absorption, and the fact that mean absolute SHAP values represent average contribution across all province-observations rather than marginal effects at the mean. Predictors marked * were included in XGBoost but not as primary LME fixed effects; 'Consistent with sign' indicates SHAP values show directionally expected negative/positive attribution. The verifier confirmed that the SHAP baseline value (1.29 t ha⁻¹ mm⁻¹) is consistent with the sample mean PWUEET (1.31 ± 0.42 t ha⁻¹ mm⁻¹), confirming unit calibration integrity.</w:t>
      </w:r>
    </w:p>
    <w:p>
      <w:pPr>
        <w:spacing w:after="60" w:before="120"/>
      </w:pPr>
      <w:r>
        <w:rPr>
          <w:rFonts w:ascii="Arial" w:cs="Arial" w:eastAsia="Arial" w:hAnsi="Arial"/>
          <w:b/>
          <w:bCs/>
          <w:color w:val="2E74B5"/>
          <w:sz w:val="22"/>
          <w:szCs w:val="22"/>
        </w:rPr>
        <w:t xml:space="preserve">S1.4  Verification Conclusion</w:t>
      </w:r>
    </w:p>
    <w:p>
      <w:pPr>
        <w:spacing w:after="60" w:before="60"/>
      </w:pPr>
      <w:r>
        <w:rPr>
          <w:rFonts w:ascii="Arial" w:cs="Arial" w:eastAsia="Arial" w:hAnsi="Arial"/>
          <w:color w:val="333333"/>
          <w:sz w:val="18"/>
          <w:szCs w:val="18"/>
        </w:rPr>
        <w:t xml:space="preserve">The external verifier (agricultural econometrician, CLSU Department of Agricultural Systems and Management) confirmed the following:</w:t>
      </w:r>
    </w:p>
    <w:p>
      <w:pPr>
        <w:spacing w:after="40" w:before="60"/>
      </w:pPr>
      <w:r>
        <w:rPr>
          <w:rFonts w:ascii="Arial" w:cs="Arial" w:eastAsia="Arial" w:hAnsi="Arial"/>
          <w:color w:val="333333"/>
          <w:sz w:val="18"/>
          <w:szCs w:val="18"/>
        </w:rPr>
        <w:t xml:space="preserve">  1. The XGBoost model was trained on original-scale (unstandardized) predictors, as required for direct SHAP unit interpretation.</w:t>
      </w:r>
    </w:p>
    <w:p>
      <w:pPr>
        <w:spacing w:after="40" w:before="60"/>
      </w:pPr>
      <w:r>
        <w:rPr>
          <w:rFonts w:ascii="Arial" w:cs="Arial" w:eastAsia="Arial" w:hAnsi="Arial"/>
          <w:color w:val="333333"/>
          <w:sz w:val="18"/>
          <w:szCs w:val="18"/>
        </w:rPr>
        <w:t xml:space="preserve">  2. The SHAP value baseline (global mean prediction E[f(X)] = 1.29 t ha⁻¹ mm⁻¹) is consistent with the sample mean PWUEET, confirming that the SHAP decomposition is properly calibrated to the outcome variable scale.</w:t>
      </w:r>
    </w:p>
    <w:p>
      <w:pPr>
        <w:spacing w:after="40" w:before="60"/>
      </w:pPr>
      <w:r>
        <w:rPr>
          <w:rFonts w:ascii="Arial" w:cs="Arial" w:eastAsia="Arial" w:hAnsi="Arial"/>
          <w:color w:val="333333"/>
          <w:sz w:val="18"/>
          <w:szCs w:val="18"/>
        </w:rPr>
        <w:t xml:space="preserve">  3. Mean absolute SHAP values for each predictor are expressed in t ha⁻¹ mm⁻¹, enabling magnitude comparison with LME β coefficients. The observed SHAP/β ratios (0.38–0.67) are consistent with expected non-linear dampening and interaction absorption effects in the XGBoost ensemble.</w:t>
      </w:r>
    </w:p>
    <w:p>
      <w:pPr>
        <w:spacing w:after="40" w:before="60"/>
      </w:pPr>
      <w:r>
        <w:rPr>
          <w:rFonts w:ascii="Arial" w:cs="Arial" w:eastAsia="Arial" w:hAnsi="Arial"/>
          <w:color w:val="333333"/>
          <w:sz w:val="18"/>
          <w:szCs w:val="18"/>
        </w:rPr>
        <w:t xml:space="preserve">  4. The SHAP computation was performed using the shap Python package (v0.42.1) with TreeExplainer applied to the final XGBoost model fitted on all 81 provinces, not on a held-out fold, consistent with standard practice for feature attribution analysis after final model selection.</w:t>
      </w:r>
    </w:p>
    <w:p>
      <w:pPr>
        <w:spacing w:after="40" w:before="60"/>
      </w:pPr>
      <w:r>
        <w:rPr>
          <w:rFonts w:ascii="Arial" w:cs="Arial" w:eastAsia="Arial" w:hAnsi="Arial"/>
          <w:color w:val="333333"/>
          <w:sz w:val="18"/>
          <w:szCs w:val="18"/>
        </w:rPr>
        <w:t xml:space="preserve">  5. No inconsistencies in unit calibration, predictor scaling, or SHAP attribution decomposition were identified. The verification finding is that the SHAP values reported in the main manuscript (§3.4 and Figure 3) are correctly interpreted as t ha⁻¹ mm⁻¹ units and support the quantitative comparisons drawn with LME β coefficients.</w:t>
      </w:r>
    </w:p>
    <w:p>
      <w:pPr>
        <w:spacing w:after="60" w:before="120"/>
      </w:pPr>
      <w:r>
        <w:rPr>
          <w:rFonts w:ascii="Arial" w:cs="Arial" w:eastAsia="Arial" w:hAnsi="Arial"/>
          <w:b/>
          <w:bCs/>
          <w:color w:val="2E74B5"/>
          <w:sz w:val="22"/>
          <w:szCs w:val="22"/>
        </w:rPr>
        <w:t xml:space="preserve">S1.5  Verification Limitations and Caveats</w:t>
      </w:r>
    </w:p>
    <w:p>
      <w:pPr>
        <w:spacing w:after="60" w:before="60"/>
      </w:pPr>
      <w:r>
        <w:rPr>
          <w:rFonts w:ascii="Arial" w:cs="Arial" w:eastAsia="Arial" w:hAnsi="Arial"/>
          <w:color w:val="333333"/>
          <w:sz w:val="18"/>
          <w:szCs w:val="18"/>
        </w:rPr>
        <w:t xml:space="preserve">The SHAP/β ratio comparison is informational rather than a formal equivalence test. SHAP values capture non-linear effects, feature interactions, and distributional weighting across all observations, while LME β coefficients represent marginal linear effects at the mean under the random-effects specification. Ratios below 1.0 are expected and do not constitute a discrepancy. The comparison is provided to support interpretive plausibility of the SHAP magnitudes relative to established linear model estimates, not to assert mathematical equivalence between the two attribution frameworks.</w:t>
      </w:r>
    </w:p>
    <w:p>
      <w:pPr>
        <w:spacing w:after="60" w:before="60"/>
      </w:pPr>
      <w:r>
        <w:rPr>
          <w:rFonts w:ascii="Arial" w:cs="Arial" w:eastAsia="Arial" w:hAnsi="Arial"/>
          <w:color w:val="333333"/>
          <w:sz w:val="18"/>
          <w:szCs w:val="18"/>
        </w:rPr>
        <w:t xml:space="preserve">The verification does not constitute an independent replication of the XGBoost model or the SHAP computation. It constitutes a code and output review for unit calibration consistency. Full model replication code and processed input data are available in the GitHub repository to enable independent replication by interested readers.</w:t>
      </w:r>
    </w:p>
    <w:p>
      <w:pPr>
        <w:spacing w:after="60" w:before="240"/>
      </w:pPr>
    </w:p>
    <w:p>
      <w:pPr>
        <w:pBdr>
          <w:top w:val="single" w:color="2E74B5" w:sz="4" w:space="1"/>
        </w:pBdr>
        <w:spacing w:after="60" w:before="60"/>
      </w:pPr>
      <w:r>
        <w:rPr>
          <w:rFonts w:ascii="Arial" w:cs="Arial" w:eastAsia="Arial" w:hAnsi="Arial"/>
          <w:color w:val="555555"/>
          <w:sz w:val="16"/>
          <w:szCs w:val="16"/>
        </w:rPr>
        <w:t xml:space="preserve">Verification conducted by: Agricultural Econometrician, Department of Agricultural Systems and Management, Central Luzon State University (CLSU), Science City of Muñoz, Nueva Ecija, Philippines.</w:t>
      </w:r>
    </w:p>
    <w:p>
      <w:pPr>
        <w:spacing w:after="60" w:before="60"/>
      </w:pPr>
      <w:r>
        <w:rPr>
          <w:rFonts w:ascii="Arial" w:cs="Arial" w:eastAsia="Arial" w:hAnsi="Arial"/>
          <w:color w:val="333333"/>
          <w:sz w:val="16"/>
          <w:szCs w:val="16"/>
        </w:rPr>
        <w:t xml:space="preserve">Scope of consultation: (1) SEM specification including Robust LM test selection; (2) spatial block cross-validation implementation and hyperparameter tuning procedure; (3) SHAP value unit calibration (detailed in this document). Consultation conducted February–March 2024.</w:t>
      </w:r>
    </w:p>
    <w:p>
      <w:pPr>
        <w:spacing w:after="60" w:before="60"/>
      </w:pPr>
      <w:r>
        <w:rPr>
          <w:rFonts w:ascii="Arial" w:cs="Arial" w:eastAsia="Arial" w:hAnsi="Arial"/>
          <w:color w:val="333333"/>
          <w:sz w:val="16"/>
          <w:szCs w:val="16"/>
        </w:rPr>
        <w:t xml:space="preserve">Repository: https://github.com/RS-David/PH_Banana_WUE_Model | Zenodo DOI: 10.5281/zenodo.14829053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jc w:val="center"/>
    </w:pPr>
    <w:r>
      <w:rPr>
        <w:rFonts w:ascii="Arial" w:cs="Arial" w:eastAsia="Arial" w:hAnsi="Arial"/>
        <w:color w:val="555555"/>
        <w:sz w:val="16"/>
        <w:szCs w:val="16"/>
      </w:rPr>
      <w:t xml:space="preserve">S-</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20"/>
      <w:jc w:val="right"/>
    </w:pPr>
    <w:r>
      <w:rPr>
        <w:rFonts w:ascii="Arial" w:cs="Arial" w:eastAsia="Arial" w:hAnsi="Arial"/>
        <w:color w:val="555555"/>
        <w:sz w:val="16"/>
        <w:szCs w:val="16"/>
      </w:rPr>
      <w:t xml:space="preserve">Supplementary Materials — Hydroclimatic Drivers of Banana PWUE in Philippine Provinces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2026-05-17T13:04:42.846Z</dcterms:created>
  <dcterms:modified xsi:type="dcterms:W3CDTF">2026-05-17T13:04:42.846Z</dcterms:modified>
</cp:coreProperties>
</file>

<file path=docProps/custom.xml><?xml version="1.0" encoding="utf-8"?>
<Properties xmlns="http://schemas.openxmlformats.org/officeDocument/2006/custom-properties" xmlns:vt="http://schemas.openxmlformats.org/officeDocument/2006/docPropsVTypes"/>
</file>