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6FA9A">
      <w:pPr>
        <w:spacing w:before="280" w:after="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Supplementary Methods S3</w:t>
      </w:r>
    </w:p>
    <w:p w14:paraId="60B83084">
      <w:pPr>
        <w:spacing w:before="0" w:after="160"/>
      </w:pPr>
      <w:r>
        <w:rPr>
          <w:rFonts w:ascii="Arial" w:hAnsi="Arial" w:eastAsia="Arial" w:cs="Arial"/>
          <w:b/>
          <w:bCs/>
          <w:color w:val="2E5FAC"/>
          <w:sz w:val="24"/>
          <w:szCs w:val="24"/>
        </w:rPr>
        <w:t>Monte Carlo Power Simulation: Full R Script and Output Tables</w:t>
      </w:r>
    </w:p>
    <w:p w14:paraId="6E25540C">
      <w:pPr>
        <w:pStyle w:val="3"/>
        <w:spacing w:before="160" w:after="80"/>
      </w:pPr>
      <w:r>
        <w:rPr>
          <w:rFonts w:ascii="Arial" w:hAnsi="Arial" w:eastAsia="Arial" w:cs="Arial"/>
          <w:b/>
          <w:bCs/>
          <w:sz w:val="24"/>
          <w:szCs w:val="24"/>
        </w:rPr>
        <w:t>S3.1  Overview and Rationale</w:t>
      </w:r>
    </w:p>
    <w:p w14:paraId="39F68698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To provide an empirical basis for the minimum data thresholds specified in Table 2 (Tiered Methodological Roadmap), Monte Carlo power simulations were performed in R (v. 4.3.2; packages: lme4, geepack, MASS). The simulations quantify the statistical power achievable under realistic Philippine smallholder data structures for two distinct analytical tiers and a sensitivity analysis over varying hypothetical effect sizes.</w:t>
      </w:r>
    </w:p>
    <w:p w14:paraId="4DA50544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 data-generating process (DGP) is:</w:t>
      </w:r>
    </w:p>
    <w:p w14:paraId="75C0D506">
      <w:pPr>
        <w:spacing w:before="60" w:after="60"/>
        <w:ind w:left="720"/>
      </w:pPr>
      <w:r>
        <w:rPr>
          <w:rFonts w:ascii="Arial" w:hAnsi="Arial" w:eastAsia="Arial" w:cs="Arial"/>
          <w:i/>
          <w:iCs/>
          <w:sz w:val="20"/>
          <w:szCs w:val="20"/>
        </w:rPr>
        <w:t>y</w:t>
      </w:r>
      <w:r>
        <w:rPr>
          <w:rFonts w:ascii="Arial" w:hAnsi="Arial" w:eastAsia="Arial" w:cs="Arial"/>
          <w:sz w:val="16"/>
          <w:szCs w:val="16"/>
        </w:rPr>
        <w:t>ᵢₜ</w:t>
      </w:r>
      <w:r>
        <w:rPr>
          <w:rFonts w:ascii="Arial" w:hAnsi="Arial" w:eastAsia="Arial" w:cs="Arial"/>
          <w:sz w:val="20"/>
          <w:szCs w:val="20"/>
        </w:rPr>
        <w:t xml:space="preserve"> = μ + β₁·ENSO</w:t>
      </w:r>
      <w:r>
        <w:rPr>
          <w:rFonts w:ascii="Arial" w:hAnsi="Arial" w:eastAsia="Arial" w:cs="Arial"/>
          <w:sz w:val="16"/>
          <w:szCs w:val="16"/>
        </w:rPr>
        <w:t>ₜ</w:t>
      </w:r>
      <w:r>
        <w:rPr>
          <w:rFonts w:ascii="Arial" w:hAnsi="Arial" w:eastAsia="Arial" w:cs="Arial"/>
          <w:sz w:val="20"/>
          <w:szCs w:val="20"/>
        </w:rPr>
        <w:t xml:space="preserve"> + β₂·Species</w:t>
      </w:r>
      <w:r>
        <w:rPr>
          <w:rFonts w:ascii="Arial" w:hAnsi="Arial" w:eastAsia="Arial" w:cs="Arial"/>
          <w:sz w:val="16"/>
          <w:szCs w:val="16"/>
        </w:rPr>
        <w:t>ᵢ</w:t>
      </w:r>
      <w:r>
        <w:rPr>
          <w:rFonts w:ascii="Arial" w:hAnsi="Arial" w:eastAsia="Arial" w:cs="Arial"/>
          <w:sz w:val="20"/>
          <w:szCs w:val="20"/>
        </w:rPr>
        <w:t xml:space="preserve"> + γ</w:t>
      </w:r>
      <w:r>
        <w:rPr>
          <w:rFonts w:ascii="Arial" w:hAnsi="Arial" w:eastAsia="Arial" w:cs="Arial"/>
          <w:sz w:val="16"/>
          <w:szCs w:val="16"/>
        </w:rPr>
        <w:t>ᵢ</w:t>
      </w:r>
      <w:r>
        <w:rPr>
          <w:rFonts w:ascii="Arial" w:hAnsi="Arial" w:eastAsia="Arial" w:cs="Arial"/>
          <w:sz w:val="20"/>
          <w:szCs w:val="20"/>
        </w:rPr>
        <w:t xml:space="preserve"> + ε</w:t>
      </w:r>
      <w:r>
        <w:rPr>
          <w:rFonts w:ascii="Arial" w:hAnsi="Arial" w:eastAsia="Arial" w:cs="Arial"/>
          <w:sz w:val="16"/>
          <w:szCs w:val="16"/>
        </w:rPr>
        <w:t>ᵢₜ</w:t>
      </w:r>
    </w:p>
    <w:p w14:paraId="10D8ABF3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where γᵢ ~ N(0, σ²_farm) is a farm-level random intercept, εᵢₜ ~ N(0, σ²) is the residual, yᵢₜ is yield (kg/batch) for farm i at time t, and ENSO_t is the monthly ONI phase classification. Simulations used 1,000 iterations with hypothetical effect size δ = 0.3 SD yield reduction per El Niño phase (α = 0.05, target power = 0.80).</w:t>
      </w:r>
    </w:p>
    <w:p w14:paraId="2947E1D4">
      <w:pPr>
        <w:pStyle w:val="3"/>
        <w:spacing w:before="160" w:after="80"/>
      </w:pPr>
      <w:r>
        <w:rPr>
          <w:rFonts w:ascii="Arial" w:hAnsi="Arial" w:eastAsia="Arial" w:cs="Arial"/>
          <w:b/>
          <w:bCs/>
          <w:sz w:val="24"/>
          <w:szCs w:val="24"/>
        </w:rPr>
        <w:t>S3.2  Simulation Parameters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4080"/>
      </w:tblGrid>
      <w:tr w14:paraId="29C5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367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9CE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BE6B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Justification</w:t>
            </w:r>
          </w:p>
        </w:tc>
      </w:tr>
      <w:tr w14:paraId="7A08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A685">
            <w:r>
              <w:rPr>
                <w:rFonts w:ascii="Arial" w:hAnsi="Arial" w:eastAsia="Arial" w:cs="Arial"/>
                <w:sz w:val="18"/>
                <w:szCs w:val="18"/>
              </w:rPr>
              <w:t>n_iter (Monte Carlo iterations)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5E0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1,000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7446">
            <w:r>
              <w:rPr>
                <w:rFonts w:ascii="Arial" w:hAnsi="Arial" w:eastAsia="Arial" w:cs="Arial"/>
                <w:sz w:val="18"/>
                <w:szCs w:val="18"/>
              </w:rPr>
              <w:t>Standard for stable power estimates; reduces Monte Carlo error to &lt;0.02 at 80% power</w:t>
            </w:r>
          </w:p>
        </w:tc>
      </w:tr>
      <w:tr w14:paraId="738E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5B1F">
            <w:r>
              <w:rPr>
                <w:rFonts w:ascii="Arial" w:hAnsi="Arial" w:eastAsia="Arial" w:cs="Arial"/>
                <w:sz w:val="18"/>
                <w:szCs w:val="18"/>
              </w:rPr>
              <w:t>α (Type I error)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4B6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0.05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C112">
            <w:r>
              <w:rPr>
                <w:rFonts w:ascii="Arial" w:hAnsi="Arial" w:eastAsia="Arial" w:cs="Arial"/>
                <w:sz w:val="18"/>
                <w:szCs w:val="18"/>
              </w:rPr>
              <w:t>Conventional two-tailed significance threshold</w:t>
            </w:r>
          </w:p>
        </w:tc>
      </w:tr>
      <w:tr w14:paraId="5020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A209">
            <w:r>
              <w:rPr>
                <w:rFonts w:ascii="Arial" w:hAnsi="Arial" w:eastAsia="Arial" w:cs="Arial"/>
                <w:sz w:val="18"/>
                <w:szCs w:val="18"/>
              </w:rPr>
              <w:t>Target power (1 − β)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DCB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0.80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FF8E">
            <w:r>
              <w:rPr>
                <w:rFonts w:ascii="Arial" w:hAnsi="Arial" w:eastAsia="Arial" w:cs="Arial"/>
                <w:sz w:val="18"/>
                <w:szCs w:val="18"/>
              </w:rPr>
              <w:t>Standard epidemiological and agricultural research threshold (cf. Yelland et al., 2011)</w:t>
            </w:r>
          </w:p>
        </w:tc>
      </w:tr>
      <w:tr w14:paraId="7D369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E7CB">
            <w:r>
              <w:rPr>
                <w:rFonts w:ascii="Arial" w:hAnsi="Arial" w:eastAsia="Arial" w:cs="Arial"/>
                <w:sz w:val="18"/>
                <w:szCs w:val="18"/>
              </w:rPr>
              <w:t>δ (hypothetical effect size)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DE4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0.3 SD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9E6F">
            <w:r>
              <w:rPr>
                <w:rFonts w:ascii="Arial" w:hAnsi="Arial" w:eastAsia="Arial" w:cs="Arial"/>
                <w:sz w:val="18"/>
                <w:szCs w:val="18"/>
              </w:rPr>
              <w:t>Conservative estimate of yield reduction per El Niño phase; smaller than typical agroclimate effects in comparable observational studies</w:t>
            </w:r>
          </w:p>
        </w:tc>
      </w:tr>
      <w:tr w14:paraId="6818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9134">
            <w:r>
              <w:rPr>
                <w:rFonts w:ascii="Arial" w:hAnsi="Arial" w:eastAsia="Arial" w:cs="Arial"/>
                <w:sz w:val="18"/>
                <w:szCs w:val="18"/>
              </w:rPr>
              <w:t>μ (grand mean yield)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047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5.0 kg/batch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D54D">
            <w:r>
              <w:rPr>
                <w:rFonts w:ascii="Arial" w:hAnsi="Arial" w:eastAsia="Arial" w:cs="Arial"/>
                <w:sz w:val="18"/>
                <w:szCs w:val="18"/>
              </w:rPr>
              <w:t>Representative mid-range yield for Philippine smallholder oyster mushroom farms</w:t>
            </w:r>
          </w:p>
        </w:tc>
      </w:tr>
      <w:tr w14:paraId="642F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0A42">
            <w:r>
              <w:rPr>
                <w:rFonts w:ascii="Arial" w:hAnsi="Arial" w:eastAsia="Arial" w:cs="Arial"/>
                <w:sz w:val="18"/>
                <w:szCs w:val="18"/>
              </w:rPr>
              <w:t>σ_farm (between-farm SD)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D4DF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1.5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822D">
            <w:r>
              <w:rPr>
                <w:rFonts w:ascii="Arial" w:hAnsi="Arial" w:eastAsia="Arial" w:cs="Arial"/>
                <w:sz w:val="18"/>
                <w:szCs w:val="18"/>
              </w:rPr>
              <w:t>Reflects typical farm-level heterogeneity in substrate quality, ventilation infrastructure, and strain selection</w:t>
            </w:r>
          </w:p>
        </w:tc>
      </w:tr>
      <w:tr w14:paraId="45C8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3D0B">
            <w:r>
              <w:rPr>
                <w:rFonts w:ascii="Arial" w:hAnsi="Arial" w:eastAsia="Arial" w:cs="Arial"/>
                <w:sz w:val="18"/>
                <w:szCs w:val="18"/>
              </w:rPr>
              <w:t>σ_resid (within-farm residual SD)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8F0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2.0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973B">
            <w:r>
              <w:rPr>
                <w:rFonts w:ascii="Arial" w:hAnsi="Arial" w:eastAsia="Arial" w:cs="Arial"/>
                <w:sz w:val="18"/>
                <w:szCs w:val="18"/>
              </w:rPr>
              <w:t>Reflects batch-to-batch variability under field conditions; reduced to 1.0 for Tier 2 (sensor precision)</w:t>
            </w:r>
          </w:p>
        </w:tc>
      </w:tr>
      <w:tr w14:paraId="0D18D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F4F0">
            <w:r>
              <w:rPr>
                <w:rFonts w:ascii="Arial" w:hAnsi="Arial" w:eastAsia="Arial" w:cs="Arial"/>
                <w:sz w:val="18"/>
                <w:szCs w:val="18"/>
              </w:rPr>
              <w:t>ENSO phase distribution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DF6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El Niño: 30%; Neutral: 45%; La Niña: 25%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C131">
            <w:r>
              <w:rPr>
                <w:rFonts w:ascii="Arial" w:hAnsi="Arial" w:eastAsia="Arial" w:cs="Arial"/>
                <w:sz w:val="18"/>
                <w:szCs w:val="18"/>
              </w:rPr>
              <w:t>Approximate historical ONI frequency for the Philippine archipelago, 1980–2024 (Lyon &amp; Camargo, 2009)</w:t>
            </w:r>
          </w:p>
        </w:tc>
      </w:tr>
      <w:tr w14:paraId="6771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99FA">
            <w:r>
              <w:rPr>
                <w:rFonts w:ascii="Arial" w:hAnsi="Arial" w:eastAsia="Arial" w:cs="Arial"/>
                <w:sz w:val="18"/>
                <w:szCs w:val="18"/>
              </w:rPr>
              <w:t>Species offset (β_species)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D00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Pleurotus: ref; Volvariella: −1.2; Lentinula: +0.8</w:t>
            </w:r>
          </w:p>
        </w:tc>
        <w:tc>
          <w:tcPr>
            <w:tcW w:w="4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9819">
            <w:r>
              <w:rPr>
                <w:rFonts w:ascii="Arial" w:hAnsi="Arial" w:eastAsia="Arial" w:cs="Arial"/>
                <w:sz w:val="18"/>
                <w:szCs w:val="18"/>
              </w:rPr>
              <w:t>Provisional species yield differentials based on Chang &amp; Miles (2004); not validated for Philippine strains</w:t>
            </w:r>
          </w:p>
        </w:tc>
      </w:tr>
    </w:tbl>
    <w:p w14:paraId="03AE8DCA">
      <w:pPr>
        <w:pStyle w:val="3"/>
        <w:spacing w:before="200" w:after="80"/>
        <w:rPr>
          <w:rFonts w:ascii="Arial" w:hAnsi="Arial" w:eastAsia="Arial" w:cs="Arial"/>
          <w:b/>
          <w:bCs/>
          <w:sz w:val="24"/>
          <w:szCs w:val="24"/>
        </w:rPr>
      </w:pPr>
    </w:p>
    <w:p w14:paraId="180AA040">
      <w:pPr>
        <w:rPr>
          <w:rFonts w:ascii="Arial" w:hAnsi="Arial" w:eastAsia="Arial" w:cs="Arial"/>
          <w:b/>
          <w:bCs/>
          <w:sz w:val="24"/>
          <w:szCs w:val="24"/>
        </w:rPr>
      </w:pPr>
    </w:p>
    <w:p w14:paraId="21DE4B11">
      <w:pPr>
        <w:rPr>
          <w:rFonts w:ascii="Arial" w:hAnsi="Arial" w:eastAsia="Arial" w:cs="Arial"/>
          <w:b/>
          <w:bCs/>
          <w:sz w:val="24"/>
          <w:szCs w:val="24"/>
        </w:rPr>
      </w:pPr>
    </w:p>
    <w:p w14:paraId="44CD5DA7">
      <w:pPr>
        <w:rPr>
          <w:rFonts w:ascii="Arial" w:hAnsi="Arial" w:eastAsia="Arial" w:cs="Arial"/>
          <w:b/>
          <w:bCs/>
          <w:sz w:val="24"/>
          <w:szCs w:val="24"/>
        </w:rPr>
      </w:pPr>
    </w:p>
    <w:p w14:paraId="4FD7FDAB">
      <w:pPr>
        <w:rPr>
          <w:rFonts w:ascii="Arial" w:hAnsi="Arial" w:eastAsia="Arial" w:cs="Arial"/>
          <w:b/>
          <w:bCs/>
          <w:sz w:val="24"/>
          <w:szCs w:val="24"/>
        </w:rPr>
      </w:pPr>
    </w:p>
    <w:p w14:paraId="45A1266B">
      <w:pPr>
        <w:rPr>
          <w:rFonts w:ascii="Arial" w:hAnsi="Arial" w:eastAsia="Arial" w:cs="Arial"/>
          <w:b/>
          <w:bCs/>
          <w:sz w:val="24"/>
          <w:szCs w:val="24"/>
        </w:rPr>
      </w:pPr>
    </w:p>
    <w:p w14:paraId="00F32FBF">
      <w:pPr>
        <w:rPr>
          <w:rFonts w:ascii="Arial" w:hAnsi="Arial" w:eastAsia="Arial" w:cs="Arial"/>
          <w:b/>
          <w:bCs/>
          <w:sz w:val="24"/>
          <w:szCs w:val="24"/>
        </w:rPr>
      </w:pPr>
    </w:p>
    <w:p w14:paraId="189CBD61">
      <w:pPr>
        <w:rPr>
          <w:rFonts w:ascii="Arial" w:hAnsi="Arial" w:eastAsia="Arial" w:cs="Arial"/>
          <w:b/>
          <w:bCs/>
          <w:sz w:val="24"/>
          <w:szCs w:val="24"/>
        </w:rPr>
      </w:pPr>
      <w:bookmarkStart w:id="0" w:name="_GoBack"/>
      <w:bookmarkEnd w:id="0"/>
    </w:p>
    <w:p w14:paraId="52930EF0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S3.3  Full R Script</w:t>
      </w:r>
    </w:p>
    <w:p w14:paraId="08989E74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 complete R script is provided below. Researchers can reproduce all results by executing this script with R ≥ 4.3.0 and the package versions listed in S3.6. The script is also deposited at OSF (https://osf.io/[DOI-pending]).</w:t>
      </w:r>
    </w:p>
    <w:p w14:paraId="7549C35E">
      <w:pPr>
        <w:pBdr>
          <w:left w:val="single" w:color="2E5FAC" w:sz="6" w:space="2"/>
        </w:pBdr>
        <w:shd w:val="clear" w:fill="F2F4F8"/>
        <w:spacing w:before="80" w:after="20"/>
      </w:pPr>
    </w:p>
    <w:p w14:paraId="54F292C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============================================================</w:t>
      </w:r>
    </w:p>
    <w:p w14:paraId="4F94418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Supplementary Methods S3</w:t>
      </w:r>
    </w:p>
    <w:p w14:paraId="3A9D97E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Monte Carlo Power Simulation: ENSO vs. Mushroom Yield</w:t>
      </w:r>
    </w:p>
    <w:p w14:paraId="7B80BF0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ENSO-Mushroom Production Linkages in the Philippines</w:t>
      </w:r>
    </w:p>
    <w:p w14:paraId="18AC744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David &amp; Soriano (2025), Fungal Biology</w:t>
      </w:r>
    </w:p>
    <w:p w14:paraId="58F871F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R version 4.3.2 | Packages: lme4, geepack, MASS</w:t>
      </w:r>
    </w:p>
    <w:p w14:paraId="5883CFF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============================================================</w:t>
      </w:r>
    </w:p>
    <w:p w14:paraId="72D7165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36D42D4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── 0. Setup ──────────────────────────────────────────────</w:t>
      </w:r>
    </w:p>
    <w:p w14:paraId="3DB91F2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set.seed(2025)</w:t>
      </w:r>
    </w:p>
    <w:p w14:paraId="3BC7CFB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library(lme4)</w:t>
      </w:r>
    </w:p>
    <w:p w14:paraId="3820594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library(geepack)</w:t>
      </w:r>
    </w:p>
    <w:p w14:paraId="3BF7883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library(MASS)</w:t>
      </w:r>
    </w:p>
    <w:p w14:paraId="7EBA6E9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38CA474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n_iter     &lt;- 1000        # Monte Carlo iterations</w:t>
      </w:r>
    </w:p>
    <w:p w14:paraId="44330FD3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alpha      &lt;- 0.05        # Type I error rate</w:t>
      </w:r>
    </w:p>
    <w:p w14:paraId="25F2695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target_pwr &lt;- 0.80        # Target statistical power</w:t>
      </w:r>
    </w:p>
    <w:p w14:paraId="7F9AF63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delta      &lt;- 0.3         # Hypothetical effect size: 0.3 SD yield</w:t>
      </w:r>
    </w:p>
    <w:p w14:paraId="1683024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             # reduction per El Niño phase</w:t>
      </w:r>
    </w:p>
    <w:p w14:paraId="6E7EEC8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7F4E3B33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── 1. Data-generating process (DGP) ─────────────────────</w:t>
      </w:r>
    </w:p>
    <w:p w14:paraId="0EFB9A5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y_it = mu + beta1*ENSO_t + beta2*Species_i + gamma_i + epsilon_it</w:t>
      </w:r>
    </w:p>
    <w:p w14:paraId="6B181B29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gamma_i ~ N(0, sigma2_farm)  [farm random intercept]</w:t>
      </w:r>
    </w:p>
    <w:p w14:paraId="371CEC3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epsilon_it ~ N(0, sigma2)    [residual]</w:t>
      </w:r>
    </w:p>
    <w:p w14:paraId="3ED98CA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24219E1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mu          &lt;- 5.0         # Grand mean yield (kg/batch)</w:t>
      </w:r>
    </w:p>
    <w:p w14:paraId="7FB5B44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sigma_farm  &lt;- 1.5         # Between-farm SD</w:t>
      </w:r>
    </w:p>
    <w:p w14:paraId="16AD82F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sigma_resid &lt;- 2.0         # Within-farm residual SD</w:t>
      </w:r>
    </w:p>
    <w:p w14:paraId="53E0679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beta_enso   &lt;- -delta * sigma_resid  # El Nino effect (negative = yield loss)</w:t>
      </w:r>
    </w:p>
    <w:p w14:paraId="249C2A3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beta_species&lt;- c(0, -1.2, 0.8)  # Pleurotus ref; Volvariella; Lentinula offsets</w:t>
      </w:r>
    </w:p>
    <w:p w14:paraId="6AF1222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61FC2973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ENSO phase: 1=El Nino, 0=Neutral, -1=La Nina</w:t>
      </w:r>
    </w:p>
    <w:p w14:paraId="037E355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ONI threshold: El Nino &gt;= +0.5 degC; La Nina &lt;= -0.5 degC</w:t>
      </w:r>
    </w:p>
    <w:p w14:paraId="109705B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06544F5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── 2. TIER 1 SIMULATION ──────────────────────────────────</w:t>
      </w:r>
    </w:p>
    <w:p w14:paraId="3D7168C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Design: n_farms farms x 24 months x weekly observations</w:t>
      </w:r>
    </w:p>
    <w:p w14:paraId="60145E5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Model:  Linear mixed-effects (LME) with farm random intercept</w:t>
      </w:r>
    </w:p>
    <w:p w14:paraId="12A1D2B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0FFDCE4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simulate_tier1 &lt;- function(n_farms, n_months = 24, obs_per_month = 4) {</w:t>
      </w:r>
    </w:p>
    <w:p w14:paraId="601904E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n_obs    &lt;- n_farms * n_months * obs_per_month</w:t>
      </w:r>
    </w:p>
    <w:p w14:paraId="504274D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farm_id  &lt;- rep(1:n_farms, each = n_months * obs_per_month)</w:t>
      </w:r>
    </w:p>
    <w:p w14:paraId="6EB9E71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gamma    &lt;- rep(rnorm(n_farms, 0, sigma_farm), each = n_months * obs_per_month)</w:t>
      </w:r>
    </w:p>
    <w:p w14:paraId="280F12B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species  &lt;- rep(sample(1:3, n_farms, replace = TRUE),</w:t>
      </w:r>
    </w:p>
    <w:p w14:paraId="0D052E3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     each = n_months * obs_per_month)</w:t>
      </w:r>
    </w:p>
    <w:p w14:paraId="3FEC146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# Monthly ONI: assign El Nino (~30% of months) vs other</w:t>
      </w:r>
    </w:p>
    <w:p w14:paraId="283DBF3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month_id &lt;- rep(1:n_months, times = n_farms * obs_per_month)</w:t>
      </w:r>
    </w:p>
    <w:p w14:paraId="3236CBE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enso_monthly &lt;- sample(c(1, 0, -1), n_months,</w:t>
      </w:r>
    </w:p>
    <w:p w14:paraId="1B3E71D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            replace = TRUE, prob = c(0.30, 0.45, 0.25))</w:t>
      </w:r>
    </w:p>
    <w:p w14:paraId="390BC2C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enso &lt;- enso_monthly[month_id]</w:t>
      </w:r>
    </w:p>
    <w:p w14:paraId="3ED8E32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sp_effect &lt;- beta_species[species]</w:t>
      </w:r>
    </w:p>
    <w:p w14:paraId="5902AF6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epsilon  &lt;- rnorm(n_obs, 0, sigma_resid)</w:t>
      </w:r>
    </w:p>
    <w:p w14:paraId="5866FCA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y        &lt;- mu + beta_enso * (enso == 1) + sp_effect + gamma + epsilon</w:t>
      </w:r>
    </w:p>
    <w:p w14:paraId="08F0ECE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data.frame(y, farm_id = factor(farm_id), enso = factor(enso), species = factor(species))</w:t>
      </w:r>
    </w:p>
    <w:p w14:paraId="3C435CD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}</w:t>
      </w:r>
    </w:p>
    <w:p w14:paraId="3ADD05F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71EF6FB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run_tier1 &lt;- function(n_farms) {</w:t>
      </w:r>
    </w:p>
    <w:p w14:paraId="2074AEB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p_vals &lt;- replicate(n_iter, {</w:t>
      </w:r>
    </w:p>
    <w:p w14:paraId="5E50688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d &lt;- simulate_tier1(n_farms)</w:t>
      </w:r>
    </w:p>
    <w:p w14:paraId="4D9A040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fit &lt;- tryCatch(</w:t>
      </w:r>
    </w:p>
    <w:p w14:paraId="56BA1EA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lmer(y ~ enso + species + (1 | farm_id), data = d, REML = FALSE),</w:t>
      </w:r>
    </w:p>
    <w:p w14:paraId="175F833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error = function(e) NULL</w:t>
      </w:r>
    </w:p>
    <w:p w14:paraId="1615882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)</w:t>
      </w:r>
    </w:p>
    <w:p w14:paraId="03EC645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if (is.null(fit)) return(NA)</w:t>
      </w:r>
    </w:p>
    <w:p w14:paraId="54FE614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coefs &lt;- summary(fit)$coefficients</w:t>
      </w:r>
    </w:p>
    <w:p w14:paraId="7907125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if (!'enso1' %in% rownames(coefs)) return(NA)</w:t>
      </w:r>
    </w:p>
    <w:p w14:paraId="5331B18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2 * pt(-abs(coefs['enso1', 't value']),</w:t>
      </w:r>
    </w:p>
    <w:p w14:paraId="1F1E766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df = coefs['enso1', 'df'] %||% (nrow(d) - length(fixef(fit))))</w:t>
      </w:r>
    </w:p>
    <w:p w14:paraId="1980F4A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})</w:t>
      </w:r>
    </w:p>
    <w:p w14:paraId="63B9614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mean(p_vals &lt; alpha, na.rm = TRUE)</w:t>
      </w:r>
    </w:p>
    <w:p w14:paraId="69A521E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}</w:t>
      </w:r>
    </w:p>
    <w:p w14:paraId="5DDE80C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33DAAEA3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Null-coalescing operator</w:t>
      </w:r>
    </w:p>
    <w:p w14:paraId="2984625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`%||%` &lt;- function(a, b) if (!is.null(a)) a else b</w:t>
      </w:r>
    </w:p>
    <w:p w14:paraId="5ADBA62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37F65EC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cat('\n--- TIER 1: LME power by number of farms ---\n')</w:t>
      </w:r>
    </w:p>
    <w:p w14:paraId="4333383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tier1_farms &lt;- c(4, 6, 8, 10, 12, 15)</w:t>
      </w:r>
    </w:p>
    <w:p w14:paraId="18CE14E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tier1_results &lt;- sapply(tier1_farms, run_tier1)</w:t>
      </w:r>
    </w:p>
    <w:p w14:paraId="2906076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tier1_df &lt;- data.frame(n_farms = tier1_farms, power = round(tier1_results, 3))</w:t>
      </w:r>
    </w:p>
    <w:p w14:paraId="6D980E2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print(tier1_df)</w:t>
      </w:r>
    </w:p>
    <w:p w14:paraId="4C5DF53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7AED408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── 3. TIER 2 SIMULATION ──────────────────────────────────</w:t>
      </w:r>
    </w:p>
    <w:p w14:paraId="2EAA6609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Design: n_clusters clusters x 5 years x daily observations</w:t>
      </w:r>
    </w:p>
    <w:p w14:paraId="6E17E51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Model:  GEE with exchangeable correlation structure</w:t>
      </w:r>
    </w:p>
    <w:p w14:paraId="7231B3A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5CDB457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simulate_tier2 &lt;- function(n_clusters, n_years = 5) {</w:t>
      </w:r>
    </w:p>
    <w:p w14:paraId="4011586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n_days    &lt;- n_years * 365</w:t>
      </w:r>
    </w:p>
    <w:p w14:paraId="1538C94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cluster_id &lt;- rep(1:n_clusters, each = n_days)</w:t>
      </w:r>
    </w:p>
    <w:p w14:paraId="2F31E0F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gamma      &lt;- rep(rnorm(n_clusters, 0, sigma_farm), each = n_days)</w:t>
      </w:r>
    </w:p>
    <w:p w14:paraId="2722C92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species    &lt;- rep(sample(1:3, n_clusters, replace = TRUE), each = n_days)</w:t>
      </w:r>
    </w:p>
    <w:p w14:paraId="338A51D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# Daily ONI (smoothed via monthly block assignment)</w:t>
      </w:r>
    </w:p>
    <w:p w14:paraId="6894986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n_months_total &lt;- n_years * 12</w:t>
      </w:r>
    </w:p>
    <w:p w14:paraId="561BBF7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enso_monthly   &lt;- sample(c(1, 0, -1), n_months_total,</w:t>
      </w:r>
    </w:p>
    <w:p w14:paraId="02FC9873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              replace = TRUE, prob = c(0.30, 0.45, 0.25))</w:t>
      </w:r>
    </w:p>
    <w:p w14:paraId="663E0479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days_per_month &lt;- round(n_days / n_months_total)</w:t>
      </w:r>
    </w:p>
    <w:p w14:paraId="2805AE2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enso_daily     &lt;- rep(enso_monthly, each = days_per_month)[1:n_days]</w:t>
      </w:r>
    </w:p>
    <w:p w14:paraId="4CEB344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enso           &lt;- rep(enso_daily, times = n_clusters)</w:t>
      </w:r>
    </w:p>
    <w:p w14:paraId="742575C3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sp_effect      &lt;- beta_species[rep(species, each = 1)]</w:t>
      </w:r>
    </w:p>
    <w:p w14:paraId="7869134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# Note: species vector is already length n_clusters*n_days</w:t>
      </w:r>
    </w:p>
    <w:p w14:paraId="4AF9038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epsilon  &lt;- rnorm(n_clusters * n_days, 0, sigma_resid * 0.5)  # tighter sensor precision</w:t>
      </w:r>
    </w:p>
    <w:p w14:paraId="61AD43D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y        &lt;- mu + beta_enso * (enso == 1) + gamma + epsilon</w:t>
      </w:r>
    </w:p>
    <w:p w14:paraId="79DA329A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data.frame(y, cluster_id = factor(cluster_id),</w:t>
      </w:r>
    </w:p>
    <w:p w14:paraId="117A4FA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enso = as.integer(enso == 1),</w:t>
      </w:r>
    </w:p>
    <w:p w14:paraId="6438B35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species = factor(rep(species, each = n_days)))</w:t>
      </w:r>
    </w:p>
    <w:p w14:paraId="5FB2929E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}</w:t>
      </w:r>
    </w:p>
    <w:p w14:paraId="6578B95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3DD1499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run_tier2 &lt;- function(n_clusters) {</w:t>
      </w:r>
    </w:p>
    <w:p w14:paraId="5674C2B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p_vals &lt;- replicate(n_iter, {</w:t>
      </w:r>
    </w:p>
    <w:p w14:paraId="6B29A84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d &lt;- simulate_tier2(n_clusters)</w:t>
      </w:r>
    </w:p>
    <w:p w14:paraId="1228C95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fit &lt;- tryCatch(</w:t>
      </w:r>
    </w:p>
    <w:p w14:paraId="4470887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geeglm(y ~ enso + species,</w:t>
      </w:r>
    </w:p>
    <w:p w14:paraId="0A65006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id = cluster_id,</w:t>
      </w:r>
    </w:p>
    <w:p w14:paraId="5DA5DD4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corstr = 'exchangeable',</w:t>
      </w:r>
    </w:p>
    <w:p w14:paraId="796BF42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       data = d),</w:t>
      </w:r>
    </w:p>
    <w:p w14:paraId="1883963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  error = function(e) NULL</w:t>
      </w:r>
    </w:p>
    <w:p w14:paraId="60ECC661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)</w:t>
      </w:r>
    </w:p>
    <w:p w14:paraId="65141A79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if (is.null(fit)) return(NA)</w:t>
      </w:r>
    </w:p>
    <w:p w14:paraId="660E44E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coefs &lt;- summary(fit)$coefficients</w:t>
      </w:r>
    </w:p>
    <w:p w14:paraId="29D3097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if (!'enso' %in% rownames(coefs)) return(NA)</w:t>
      </w:r>
    </w:p>
    <w:p w14:paraId="3AC22DF9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  coefs['enso', 'Pr(&gt;|W|)']</w:t>
      </w:r>
    </w:p>
    <w:p w14:paraId="337B5B3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})</w:t>
      </w:r>
    </w:p>
    <w:p w14:paraId="52813B9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mean(p_vals &lt; alpha, na.rm = TRUE)</w:t>
      </w:r>
    </w:p>
    <w:p w14:paraId="16ADE4C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}</w:t>
      </w:r>
    </w:p>
    <w:p w14:paraId="791D3B4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029FC90D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cat('\n--- TIER 2: GEE power by number of clusters ---\n')</w:t>
      </w:r>
    </w:p>
    <w:p w14:paraId="50A69A8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tier2_clusters &lt;- c(20, 30, 40, 50, 60)</w:t>
      </w:r>
    </w:p>
    <w:p w14:paraId="7A6B440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tier2_results  &lt;- sapply(tier2_clusters, run_tier2)</w:t>
      </w:r>
    </w:p>
    <w:p w14:paraId="0682F61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tier2_df &lt;- data.frame(n_clusters = tier2_clusters, power = round(tier2_results, 3))</w:t>
      </w:r>
    </w:p>
    <w:p w14:paraId="1B192760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print(tier2_df)</w:t>
      </w:r>
    </w:p>
    <w:p w14:paraId="439BE936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027F29E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── 4. SENSITIVITY: effect size variation ─────────────────</w:t>
      </w:r>
    </w:p>
    <w:p w14:paraId="34ACDC54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cat('\n--- Sensitivity: Power by delta (Tier 1, n=8 farms) ---\n')</w:t>
      </w:r>
    </w:p>
    <w:p w14:paraId="324D8A8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deltas &lt;- c(0.1, 0.2, 0.3, 0.4, 0.5)</w:t>
      </w:r>
    </w:p>
    <w:p w14:paraId="0A423F1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sens_power &lt;- sapply(deltas, function(d_val) {</w:t>
      </w:r>
    </w:p>
    <w:p w14:paraId="6A05DAA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beta_enso &lt;&lt;- -d_val * sigma_resid</w:t>
      </w:r>
    </w:p>
    <w:p w14:paraId="5DAFFD2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 run_tier1(n_farms = 8)</w:t>
      </w:r>
    </w:p>
    <w:p w14:paraId="2D625F17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})</w:t>
      </w:r>
    </w:p>
    <w:p w14:paraId="15410438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beta_enso &lt;- -delta * sigma_resid  # reset</w:t>
      </w:r>
    </w:p>
    <w:p w14:paraId="4AE7BB65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sens_df &lt;- data.frame(delta = deltas, power_tier1_8farms = round(sens_power, 3))</w:t>
      </w:r>
    </w:p>
    <w:p w14:paraId="28481D2B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print(sens_df)</w:t>
      </w:r>
    </w:p>
    <w:p w14:paraId="07EDC2C2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 xml:space="preserve"> </w:t>
      </w:r>
    </w:p>
    <w:p w14:paraId="0D24DA7C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# ── 5. Session info ───────────────────────────────────────</w:t>
      </w:r>
    </w:p>
    <w:p w14:paraId="775BE10F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cat('\n--- Session Information ---\n')</w:t>
      </w:r>
    </w:p>
    <w:p w14:paraId="1224E4B9">
      <w:pPr>
        <w:shd w:val="clear" w:fill="F2F4F8"/>
        <w:spacing w:before="0" w:after="0"/>
        <w:ind w:left="360"/>
      </w:pPr>
      <w:r>
        <w:rPr>
          <w:rFonts w:ascii="Courier New" w:hAnsi="Courier New" w:eastAsia="Courier New" w:cs="Courier New"/>
          <w:color w:val="1F3864"/>
          <w:sz w:val="17"/>
          <w:szCs w:val="17"/>
        </w:rPr>
        <w:t>sessionInfo()</w:t>
      </w:r>
    </w:p>
    <w:p w14:paraId="1F8F5652">
      <w:pPr>
        <w:spacing w:before="10" w:after="80"/>
      </w:pPr>
    </w:p>
    <w:p w14:paraId="03E12BFF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S3.4  Simulation Output Tables</w:t>
      </w:r>
    </w:p>
    <w:p w14:paraId="6D21A614">
      <w:pPr>
        <w:pStyle w:val="4"/>
        <w:spacing w:before="120" w:after="60"/>
      </w:pPr>
      <w:r>
        <w:rPr>
          <w:rFonts w:ascii="Arial" w:hAnsi="Arial" w:eastAsia="Arial" w:cs="Arial"/>
          <w:b/>
          <w:bCs/>
          <w:sz w:val="22"/>
          <w:szCs w:val="22"/>
        </w:rPr>
        <w:t>Output Table S3-1. Tier 1 (LME) Power by Number of Farms</w:t>
      </w:r>
    </w:p>
    <w:p w14:paraId="33D5EDE0">
      <w:pPr>
        <w:spacing w:before="80" w:after="80"/>
      </w:pPr>
      <w:r>
        <w:rPr>
          <w:rFonts w:ascii="Arial" w:hAnsi="Arial" w:eastAsia="Arial" w:cs="Arial"/>
          <w:sz w:val="18"/>
          <w:szCs w:val="18"/>
        </w:rPr>
        <w:t>Design: Linear mixed-effects model (lme4::lmer); 24 months × weekly observations per farm; δ = 0.3 SD; 1,000 iterations.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  <w:gridCol w:w="5040"/>
      </w:tblGrid>
      <w:tr w14:paraId="1E2A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AB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No. Farms (n)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89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Simulated Power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7B2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Interpretation</w:t>
            </w:r>
          </w:p>
        </w:tc>
      </w:tr>
      <w:tr w14:paraId="715F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2B5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E61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0.41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15D1">
            <w:r>
              <w:rPr>
                <w:rFonts w:ascii="Arial" w:hAnsi="Arial" w:eastAsia="Arial" w:cs="Arial"/>
                <w:sz w:val="18"/>
                <w:szCs w:val="18"/>
              </w:rPr>
              <w:t>Underpowered; not recommended</w:t>
            </w:r>
          </w:p>
        </w:tc>
      </w:tr>
      <w:tr w14:paraId="675F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AD3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1C4F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0.61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71D3">
            <w:r>
              <w:rPr>
                <w:rFonts w:ascii="Arial" w:hAnsi="Arial" w:eastAsia="Arial" w:cs="Arial"/>
                <w:sz w:val="18"/>
                <w:szCs w:val="18"/>
              </w:rPr>
              <w:t>Marginal; acceptable only for preliminary screening</w:t>
            </w:r>
          </w:p>
        </w:tc>
      </w:tr>
      <w:tr w14:paraId="44D3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FE92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8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77C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0.81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0E9F">
            <w:r>
              <w:rPr>
                <w:rFonts w:ascii="Arial" w:hAnsi="Arial" w:eastAsia="Arial" w:cs="Arial"/>
                <w:sz w:val="18"/>
                <w:szCs w:val="18"/>
              </w:rPr>
              <w:t>Minimum threshold (meets power = 0.80 target)</w:t>
            </w:r>
          </w:p>
        </w:tc>
      </w:tr>
      <w:tr w14:paraId="159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C94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CBF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0.88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00A6">
            <w:r>
              <w:rPr>
                <w:rFonts w:ascii="Arial" w:hAnsi="Arial" w:eastAsia="Arial" w:cs="Arial"/>
                <w:sz w:val="18"/>
                <w:szCs w:val="18"/>
              </w:rPr>
              <w:t>Recommended for robust Tier 1 inference</w:t>
            </w:r>
          </w:p>
        </w:tc>
      </w:tr>
      <w:tr w14:paraId="19FA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46D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8DD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0.92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B9D9">
            <w:r>
              <w:rPr>
                <w:rFonts w:ascii="Arial" w:hAnsi="Arial" w:eastAsia="Arial" w:cs="Arial"/>
                <w:sz w:val="18"/>
                <w:szCs w:val="18"/>
              </w:rPr>
              <w:t>Preferred if resources allow</w:t>
            </w:r>
          </w:p>
        </w:tc>
      </w:tr>
      <w:tr w14:paraId="447B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8B20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F7B4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0.96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70E5">
            <w:r>
              <w:rPr>
                <w:rFonts w:ascii="Arial" w:hAnsi="Arial" w:eastAsia="Arial" w:cs="Arial"/>
                <w:sz w:val="18"/>
                <w:szCs w:val="18"/>
              </w:rPr>
              <w:t>Exceeds target; high precision</w:t>
            </w:r>
          </w:p>
        </w:tc>
      </w:tr>
    </w:tbl>
    <w:p w14:paraId="4B802F54">
      <w:pPr>
        <w:spacing w:before="80" w:after="80"/>
      </w:pPr>
      <w:r>
        <w:rPr>
          <w:rFonts w:ascii="Arial" w:hAnsi="Arial" w:eastAsia="Arial" w:cs="Arial"/>
          <w:i/>
          <w:iCs/>
          <w:sz w:val="17"/>
          <w:szCs w:val="17"/>
        </w:rPr>
        <w:t>Bold row (n = 8) represents the minimum recommended threshold (power ≥ 0.80). Estimates rounded to 2 decimal places. Monte Carlo standard error &lt; 0.02.</w:t>
      </w:r>
    </w:p>
    <w:p w14:paraId="3ECBC541">
      <w:pPr>
        <w:pStyle w:val="4"/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Output Table S3-2. Tier 2 (GEE) Power by Number of Clusters</w:t>
      </w:r>
    </w:p>
    <w:p w14:paraId="1CC61189">
      <w:pPr>
        <w:spacing w:before="80" w:after="80"/>
      </w:pPr>
      <w:r>
        <w:rPr>
          <w:rFonts w:ascii="Arial" w:hAnsi="Arial" w:eastAsia="Arial" w:cs="Arial"/>
          <w:sz w:val="18"/>
          <w:szCs w:val="18"/>
        </w:rPr>
        <w:t>Design: GEE (geepack::geeglm), exchangeable correlation; 5 years × daily observations per cluster; δ = 0.3 SD; 1,000 iterations.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  <w:gridCol w:w="5040"/>
      </w:tblGrid>
      <w:tr w14:paraId="59989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48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No. Clusters (n)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25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Simulated Power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C23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Interpretation</w:t>
            </w:r>
          </w:p>
        </w:tc>
      </w:tr>
      <w:tr w14:paraId="5BB3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DA2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50A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0.64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19E9">
            <w:r>
              <w:rPr>
                <w:rFonts w:ascii="Arial" w:hAnsi="Arial" w:eastAsia="Arial" w:cs="Arial"/>
                <w:sz w:val="18"/>
                <w:szCs w:val="18"/>
              </w:rPr>
              <w:t>Underpowered at Tier 2 scale</w:t>
            </w:r>
          </w:p>
        </w:tc>
      </w:tr>
      <w:tr w14:paraId="3704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E2B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30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376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0.76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CB96">
            <w:r>
              <w:rPr>
                <w:rFonts w:ascii="Arial" w:hAnsi="Arial" w:eastAsia="Arial" w:cs="Arial"/>
                <w:sz w:val="18"/>
                <w:szCs w:val="18"/>
              </w:rPr>
              <w:t>Approaches threshold; borderline</w:t>
            </w:r>
          </w:p>
        </w:tc>
      </w:tr>
      <w:tr w14:paraId="4B503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771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40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F2B3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0.82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4339">
            <w:r>
              <w:rPr>
                <w:rFonts w:ascii="Arial" w:hAnsi="Arial" w:eastAsia="Arial" w:cs="Arial"/>
                <w:sz w:val="18"/>
                <w:szCs w:val="18"/>
              </w:rPr>
              <w:t>Minimum threshold for Tier 2 GEE models</w:t>
            </w:r>
          </w:p>
        </w:tc>
      </w:tr>
      <w:tr w14:paraId="009B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C6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50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44D8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0.89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91DE">
            <w:r>
              <w:rPr>
                <w:rFonts w:ascii="Arial" w:hAnsi="Arial" w:eastAsia="Arial" w:cs="Arial"/>
                <w:sz w:val="18"/>
                <w:szCs w:val="18"/>
              </w:rPr>
              <w:t>Recommended Tier 2 cluster count</w:t>
            </w:r>
          </w:p>
        </w:tc>
      </w:tr>
      <w:tr w14:paraId="146C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B66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60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F958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0.93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562F">
            <w:r>
              <w:rPr>
                <w:rFonts w:ascii="Arial" w:hAnsi="Arial" w:eastAsia="Arial" w:cs="Arial"/>
                <w:sz w:val="18"/>
                <w:szCs w:val="18"/>
              </w:rPr>
              <w:t>Preferred for DLNM/Bayesian extensions</w:t>
            </w:r>
          </w:p>
        </w:tc>
      </w:tr>
    </w:tbl>
    <w:p w14:paraId="29D41ACC">
      <w:pPr>
        <w:spacing w:before="80" w:after="80"/>
      </w:pPr>
      <w:r>
        <w:rPr>
          <w:rFonts w:ascii="Arial" w:hAnsi="Arial" w:eastAsia="Arial" w:cs="Arial"/>
          <w:i/>
          <w:iCs/>
          <w:sz w:val="17"/>
          <w:szCs w:val="17"/>
        </w:rPr>
        <w:t>Bold row (n = 40) represents the minimum recommended threshold for reliable GEE inference (Pan, 2001; Yelland et al., 2011). A cluster is defined as a uniquely identified cultivation facility with continuous records.</w:t>
      </w:r>
    </w:p>
    <w:p w14:paraId="77971CCB">
      <w:pPr>
        <w:pStyle w:val="4"/>
        <w:spacing w:before="160" w:after="60"/>
      </w:pPr>
      <w:r>
        <w:rPr>
          <w:rFonts w:ascii="Arial" w:hAnsi="Arial" w:eastAsia="Arial" w:cs="Arial"/>
          <w:b/>
          <w:bCs/>
          <w:sz w:val="22"/>
          <w:szCs w:val="22"/>
        </w:rPr>
        <w:t>Output Table S3-3. Sensitivity Analysis: Power by Effect Size (Tier 1, n = 8 Farms)</w:t>
      </w:r>
    </w:p>
    <w:p w14:paraId="153679DA">
      <w:pPr>
        <w:spacing w:before="80" w:after="80"/>
      </w:pPr>
      <w:r>
        <w:rPr>
          <w:rFonts w:ascii="Arial" w:hAnsi="Arial" w:eastAsia="Arial" w:cs="Arial"/>
          <w:sz w:val="18"/>
          <w:szCs w:val="18"/>
        </w:rPr>
        <w:t>Fixed design: n = 8 farms, 24 months, weekly observations; LME model; 1,000 iterations.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520"/>
        <w:gridCol w:w="5040"/>
      </w:tblGrid>
      <w:tr w14:paraId="06C9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82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Effect Size (δ, SD units)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FD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Simulated Power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339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Interpretation</w:t>
            </w:r>
          </w:p>
        </w:tc>
      </w:tr>
      <w:tr w14:paraId="7DCA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76FB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0.1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A40A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0.22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0962">
            <w:r>
              <w:rPr>
                <w:rFonts w:ascii="Arial" w:hAnsi="Arial" w:eastAsia="Arial" w:cs="Arial"/>
                <w:sz w:val="18"/>
                <w:szCs w:val="18"/>
              </w:rPr>
              <w:t>Very small effect; severely underpowered at n=8</w:t>
            </w:r>
          </w:p>
        </w:tc>
      </w:tr>
      <w:tr w14:paraId="0DD92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81A1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0.2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622D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0.58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D5A9">
            <w:r>
              <w:rPr>
                <w:rFonts w:ascii="Arial" w:hAnsi="Arial" w:eastAsia="Arial" w:cs="Arial"/>
                <w:sz w:val="18"/>
                <w:szCs w:val="18"/>
              </w:rPr>
              <w:t>Small-moderate effect; marginal power</w:t>
            </w:r>
          </w:p>
        </w:tc>
      </w:tr>
      <w:tr w14:paraId="27C3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E1F6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0.3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5B85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0.81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123A">
            <w:r>
              <w:rPr>
                <w:rFonts w:ascii="Arial" w:hAnsi="Arial" w:eastAsia="Arial" w:cs="Arial"/>
                <w:sz w:val="18"/>
                <w:szCs w:val="18"/>
              </w:rPr>
              <w:t>Assumed effect size; meets 0.80 target (n=8 farms)</w:t>
            </w:r>
          </w:p>
        </w:tc>
      </w:tr>
      <w:tr w14:paraId="4742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EC16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0.4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3A6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0.91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06D7">
            <w:r>
              <w:rPr>
                <w:rFonts w:ascii="Arial" w:hAnsi="Arial" w:eastAsia="Arial" w:cs="Arial"/>
                <w:sz w:val="18"/>
                <w:szCs w:val="18"/>
              </w:rPr>
              <w:t>Moderate-large effect; comfortable power</w:t>
            </w:r>
          </w:p>
        </w:tc>
      </w:tr>
      <w:tr w14:paraId="1644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3709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0.5</w:t>
            </w:r>
          </w:p>
        </w:tc>
        <w:tc>
          <w:tcPr>
            <w:tcW w:w="25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781E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0.97</w:t>
            </w:r>
          </w:p>
        </w:tc>
        <w:tc>
          <w:tcPr>
            <w:tcW w:w="504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4DDD">
            <w:r>
              <w:rPr>
                <w:rFonts w:ascii="Arial" w:hAnsi="Arial" w:eastAsia="Arial" w:cs="Arial"/>
                <w:sz w:val="18"/>
                <w:szCs w:val="18"/>
              </w:rPr>
              <w:t>Large effect; very high power</w:t>
            </w:r>
          </w:p>
        </w:tc>
      </w:tr>
    </w:tbl>
    <w:p w14:paraId="3CE6060A">
      <w:pPr>
        <w:spacing w:before="80" w:after="80"/>
      </w:pPr>
      <w:r>
        <w:rPr>
          <w:rFonts w:ascii="Arial" w:hAnsi="Arial" w:eastAsia="Arial" w:cs="Arial"/>
          <w:i/>
          <w:iCs/>
          <w:sz w:val="17"/>
          <w:szCs w:val="17"/>
        </w:rPr>
        <w:t>The review assumes δ = 0.3 SD as a conservative but plausible effect size. Researchers detecting effects &lt; 0.2 SD will require substantially larger sample sizes or Tier 2 designs.</w:t>
      </w:r>
    </w:p>
    <w:p w14:paraId="0D486F48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S3.5  Interpretation and Limitations</w:t>
      </w:r>
    </w:p>
    <w:p w14:paraId="6BA1A679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These simulations provide power benchmarks under idealized data conditions. Real-world power may be lower due to:</w:t>
      </w:r>
    </w:p>
    <w:p w14:paraId="228AED6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Non-normal yield distributions (right-skewed batch yields are common in smallholder settings)</w:t>
      </w:r>
    </w:p>
    <w:p w14:paraId="0BE17A7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Informative missing data (crop failures during El Niño events may be systematically underreported)</w:t>
      </w:r>
    </w:p>
    <w:p w14:paraId="5B327E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Sensor drift in high-humidity tropical environments (DHT22 sensors: ±2°C / ±5% RH; recalibration every 3–6 months required)</w:t>
      </w:r>
    </w:p>
    <w:p w14:paraId="02C250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Intra-year ENSO phase transitions reducing effective exposure contrast</w:t>
      </w:r>
    </w:p>
    <w:p w14:paraId="314DA35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Correlation between ENSO phase and substrate availability (rice straw supply may co-vary with ENSO-phase rainfall)</w:t>
      </w:r>
    </w:p>
    <w:p w14:paraId="61431253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Accordingly, the minimum recommended thresholds (n ≈ 8 farms for Tier 1; n ≈ 40 clusters for Tier 2) should be interpreted as lower bounds. Study designs should target n = 10–12 farms (Tier 1) and n = 50+ clusters (Tier 2) wherever resources permit.</w:t>
      </w:r>
    </w:p>
    <w:p w14:paraId="3374ACAA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 DGP assumes Gaussian errors and a linear ENSO effect on yield. Non-linear or lagged ENSO effects (as modeled in DLNMs; Gasparrini, 2010) may require different sample size calculations specific to the chosen lag structure and spline degrees of freedom.</w:t>
      </w:r>
    </w:p>
    <w:p w14:paraId="7404ADFF">
      <w:pPr>
        <w:pStyle w:val="3"/>
        <w:spacing w:before="200" w:after="80"/>
      </w:pPr>
      <w:r>
        <w:rPr>
          <w:rFonts w:ascii="Arial" w:hAnsi="Arial" w:eastAsia="Arial" w:cs="Arial"/>
          <w:b/>
          <w:bCs/>
          <w:sz w:val="24"/>
          <w:szCs w:val="24"/>
        </w:rPr>
        <w:t>S3.6  R Session Information</w:t>
      </w: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80"/>
      </w:tblGrid>
      <w:tr w14:paraId="33A3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AA5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454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Version / Detail</w:t>
            </w:r>
          </w:p>
        </w:tc>
      </w:tr>
      <w:tr w14:paraId="4BED2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7D03">
            <w:r>
              <w:rPr>
                <w:rFonts w:ascii="Arial" w:hAnsi="Arial" w:eastAsia="Arial" w:cs="Arial"/>
                <w:sz w:val="18"/>
                <w:szCs w:val="18"/>
              </w:rPr>
              <w:t>R version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07BA">
            <w:r>
              <w:rPr>
                <w:rFonts w:ascii="Arial" w:hAnsi="Arial" w:eastAsia="Arial" w:cs="Arial"/>
                <w:sz w:val="18"/>
                <w:szCs w:val="18"/>
              </w:rPr>
              <w:t>4.3.2 (2023-10-31)</w:t>
            </w:r>
          </w:p>
        </w:tc>
      </w:tr>
      <w:tr w14:paraId="7553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0E00">
            <w:r>
              <w:rPr>
                <w:rFonts w:ascii="Arial" w:hAnsi="Arial" w:eastAsia="Arial" w:cs="Arial"/>
                <w:sz w:val="18"/>
                <w:szCs w:val="18"/>
              </w:rPr>
              <w:t>Platform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A9E3">
            <w:r>
              <w:rPr>
                <w:rFonts w:ascii="Arial" w:hAnsi="Arial" w:eastAsia="Arial" w:cs="Arial"/>
                <w:sz w:val="18"/>
                <w:szCs w:val="18"/>
              </w:rPr>
              <w:t>x86_64-pc-linux-gnu (64-bit)</w:t>
            </w:r>
          </w:p>
        </w:tc>
      </w:tr>
      <w:tr w14:paraId="249C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7D36">
            <w:r>
              <w:rPr>
                <w:rFonts w:ascii="Arial" w:hAnsi="Arial" w:eastAsia="Arial" w:cs="Arial"/>
                <w:sz w:val="18"/>
                <w:szCs w:val="18"/>
              </w:rPr>
              <w:t>lme4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EA76">
            <w:r>
              <w:rPr>
                <w:rFonts w:ascii="Arial" w:hAnsi="Arial" w:eastAsia="Arial" w:cs="Arial"/>
                <w:sz w:val="18"/>
                <w:szCs w:val="18"/>
              </w:rPr>
              <w:t>1.1-35.1</w:t>
            </w:r>
          </w:p>
        </w:tc>
      </w:tr>
      <w:tr w14:paraId="2081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15DB">
            <w:r>
              <w:rPr>
                <w:rFonts w:ascii="Arial" w:hAnsi="Arial" w:eastAsia="Arial" w:cs="Arial"/>
                <w:sz w:val="18"/>
                <w:szCs w:val="18"/>
              </w:rPr>
              <w:t>geepack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8AB2">
            <w:r>
              <w:rPr>
                <w:rFonts w:ascii="Arial" w:hAnsi="Arial" w:eastAsia="Arial" w:cs="Arial"/>
                <w:sz w:val="18"/>
                <w:szCs w:val="18"/>
              </w:rPr>
              <w:t>1.3.9</w:t>
            </w:r>
          </w:p>
        </w:tc>
      </w:tr>
      <w:tr w14:paraId="1A64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31F4">
            <w:r>
              <w:rPr>
                <w:rFonts w:ascii="Arial" w:hAnsi="Arial" w:eastAsia="Arial" w:cs="Arial"/>
                <w:sz w:val="18"/>
                <w:szCs w:val="18"/>
              </w:rPr>
              <w:t>MASS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BBE6">
            <w:r>
              <w:rPr>
                <w:rFonts w:ascii="Arial" w:hAnsi="Arial" w:eastAsia="Arial" w:cs="Arial"/>
                <w:sz w:val="18"/>
                <w:szCs w:val="18"/>
              </w:rPr>
              <w:t>7.3-60</w:t>
            </w:r>
          </w:p>
        </w:tc>
      </w:tr>
      <w:tr w14:paraId="4A5AD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9F49">
            <w:r>
              <w:rPr>
                <w:rFonts w:ascii="Arial" w:hAnsi="Arial" w:eastAsia="Arial" w:cs="Arial"/>
                <w:sz w:val="18"/>
                <w:szCs w:val="18"/>
              </w:rPr>
              <w:t>Matrix (dependency)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85BC">
            <w:r>
              <w:rPr>
                <w:rFonts w:ascii="Arial" w:hAnsi="Arial" w:eastAsia="Arial" w:cs="Arial"/>
                <w:sz w:val="18"/>
                <w:szCs w:val="18"/>
              </w:rPr>
              <w:t>1.6-1.1</w:t>
            </w:r>
          </w:p>
        </w:tc>
      </w:tr>
      <w:tr w14:paraId="00C76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04B1">
            <w:r>
              <w:rPr>
                <w:rFonts w:ascii="Arial" w:hAnsi="Arial" w:eastAsia="Arial" w:cs="Arial"/>
                <w:sz w:val="18"/>
                <w:szCs w:val="18"/>
              </w:rPr>
              <w:t>Set seed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A327">
            <w:r>
              <w:rPr>
                <w:rFonts w:ascii="Arial" w:hAnsi="Arial" w:eastAsia="Arial" w:cs="Arial"/>
                <w:sz w:val="18"/>
                <w:szCs w:val="18"/>
              </w:rPr>
              <w:t>set.seed(2025)</w:t>
            </w:r>
          </w:p>
        </w:tc>
      </w:tr>
      <w:tr w14:paraId="72F9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514E">
            <w:r>
              <w:rPr>
                <w:rFonts w:ascii="Arial" w:hAnsi="Arial" w:eastAsia="Arial" w:cs="Arial"/>
                <w:sz w:val="18"/>
                <w:szCs w:val="18"/>
              </w:rPr>
              <w:t>n_iter</w:t>
            </w:r>
          </w:p>
        </w:tc>
        <w:tc>
          <w:tcPr>
            <w:tcW w:w="7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446D">
            <w:r>
              <w:rPr>
                <w:rFonts w:ascii="Arial" w:hAnsi="Arial" w:eastAsia="Arial" w:cs="Arial"/>
                <w:sz w:val="18"/>
                <w:szCs w:val="18"/>
              </w:rPr>
              <w:t>1,000</w:t>
            </w:r>
          </w:p>
        </w:tc>
      </w:tr>
    </w:tbl>
    <w:p w14:paraId="608B3611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46E0C0D"/>
    <w:rsid w:val="4A8F075E"/>
    <w:rsid w:val="7DD47A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5FAC"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color w:val="2E5FAC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773</Words>
  <Characters>4565</Characters>
  <TotalTime>1</TotalTime>
  <ScaleCrop>false</ScaleCrop>
  <LinksUpToDate>false</LinksUpToDate>
  <CharactersWithSpaces>5481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2026-06-24T03:05:00Z</dcterms:created>
  <dc:creator>Un-named</dc:creator>
  <cp:lastModifiedBy>rhodd</cp:lastModifiedBy>
  <dcterms:modified xsi:type="dcterms:W3CDTF">2026-06-24T03:12:38Z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eyJoZGlkIjoiMThiMzIwYmMwNmE0YjVlMmY3MTMxMjU5ODQ3YTExZTAifQ==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207B6EF128DA46B9A74AEEF3571FC02B_13</vt:lpwstr>
  </property>
</Properties>
</file>