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28"/>
          <w:szCs w:val="28"/>
        </w:rPr>
        <w:t xml:space="preserve">Supplementary Table S1</w:t>
      </w:r>
    </w:p>
    <w:p>
      <w:pPr>
        <w:spacing w:after="80" w:before="0"/>
        <w:jc w:val="center"/>
      </w:pPr>
      <w:r>
        <w:rPr>
          <w:rFonts w:ascii="Arial" w:cs="Arial" w:eastAsia="Arial" w:hAnsi="Arial"/>
          <w:b/>
          <w:bCs/>
          <w:color w:val="1F4E79"/>
          <w:sz w:val="24"/>
          <w:szCs w:val="24"/>
        </w:rPr>
        <w:t xml:space="preserve">Full List of Included Studies (n = 42)</w:t>
      </w:r>
    </w:p>
    <w:p>
      <w:pPr>
        <w:spacing w:after="60" w:before="0"/>
        <w:jc w:val="center"/>
      </w:pPr>
      <w:r>
        <w:rPr>
          <w:rFonts w:ascii="Arial" w:cs="Arial" w:eastAsia="Arial" w:hAnsi="Arial"/>
          <w:i/>
          <w:iCs/>
          <w:sz w:val="18"/>
          <w:szCs w:val="18"/>
        </w:rPr>
        <w:t xml:space="preserve">ENSO–Mushroom Production Linkages in the Philippines: A PRISMA-ScR 2020 Gap Analysis and Tiered Methodological Roadmap</w:t>
      </w:r>
    </w:p>
    <w:p>
      <w:pPr>
        <w:spacing w:after="240" w:before="0"/>
        <w:jc w:val="center"/>
      </w:pPr>
      <w:r>
        <w:rPr>
          <w:rFonts w:ascii="Arial" w:cs="Arial" w:eastAsia="Arial" w:hAnsi="Arial"/>
          <w:color w:val="555555"/>
          <w:sz w:val="16"/>
          <w:szCs w:val="16"/>
        </w:rPr>
        <w:t xml:space="preserve">David &amp; Soriano | Fungal Biology (2025)</w:t>
      </w:r>
    </w:p>
    <w:p>
      <w:pPr>
        <w:pBdr>
          <w:bottom w:val="single" w:color="1F4E79" w:sz="8" w:space="1"/>
        </w:pBdr>
        <w:spacing w:after="160" w:before="0"/>
      </w:pPr>
    </w:p>
    <w:p>
      <w:pPr>
        <w:spacing w:after="60" w:before="0"/>
      </w:pPr>
      <w:r>
        <w:rPr>
          <w:rFonts w:ascii="Arial" w:cs="Arial" w:eastAsia="Arial" w:hAnsi="Arial"/>
          <w:b/>
          <w:bCs/>
          <w:sz w:val="17"/>
          <w:szCs w:val="17"/>
        </w:rPr>
        <w:t xml:space="preserve">Thematic Cluster Legend: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
        <w:gridCol w:w="5700"/>
      </w:tblGrid>
      <w:tr>
        <w:tc>
          <w:tcPr>
            <w:tcW w:type="dxa" w:w="300"/>
            <w:tcBorders>
              <w:top w:val="single" w:color="AAAAAA" w:sz="4"/>
              <w:left w:val="single" w:color="AAAAAA" w:sz="4"/>
              <w:bottom w:val="single" w:color="AAAAAA" w:sz="4"/>
              <w:right w:val="single" w:color="AAAAAA" w:sz="4"/>
            </w:tcBorders>
            <w:shd w:fill="D9E8F5" w:val="clear"/>
            <w:tcMar>
              <w:top w:type="dxa" w:w="60"/>
              <w:left w:type="dxa" w:w="80"/>
              <w:bottom w:type="dxa" w:w="60"/>
              <w:right w:type="dxa" w:w="80"/>
            </w:tcMar>
          </w:tcPr>
          <w:p/>
        </w:tc>
        <w:tc>
          <w:tcPr>
            <w:tcW w:type="dxa" w:w="5700"/>
            <w:tcBorders>
              <w:top w:val="none"/>
              <w:left w:val="none"/>
              <w:bottom w:val="none"/>
              <w:right w:val="none"/>
            </w:tcBorders>
            <w:tcMar>
              <w:top w:type="dxa" w:w="60"/>
              <w:left w:type="dxa" w:w="120"/>
              <w:bottom w:type="dxa" w:w="60"/>
              <w:right w:type="dxa" w:w="60"/>
            </w:tcMar>
          </w:tcPr>
          <w:p>
            <w:r>
              <w:rPr>
                <w:rFonts w:ascii="Arial" w:cs="Arial" w:eastAsia="Arial" w:hAnsi="Arial"/>
                <w:sz w:val="16"/>
                <w:szCs w:val="16"/>
              </w:rPr>
              <w:t xml:space="preserve">A — Philippine ENSO Climatology &amp; Teleconnections (n = 18)</w:t>
            </w:r>
          </w:p>
        </w:tc>
      </w:tr>
      <w:tr>
        <w:tc>
          <w:tcPr>
            <w:tcW w:type="dxa" w:w="300"/>
            <w:tcBorders>
              <w:top w:val="single" w:color="AAAAAA" w:sz="4"/>
              <w:left w:val="single" w:color="AAAAAA" w:sz="4"/>
              <w:bottom w:val="single" w:color="AAAAAA" w:sz="4"/>
              <w:right w:val="single" w:color="AAAAAA" w:sz="4"/>
            </w:tcBorders>
            <w:shd w:fill="E2EFD8" w:val="clear"/>
            <w:tcMar>
              <w:top w:type="dxa" w:w="60"/>
              <w:left w:type="dxa" w:w="80"/>
              <w:bottom w:type="dxa" w:w="60"/>
              <w:right w:type="dxa" w:w="80"/>
            </w:tcMar>
          </w:tcPr>
          <w:p/>
        </w:tc>
        <w:tc>
          <w:tcPr>
            <w:tcW w:type="dxa" w:w="5700"/>
            <w:tcBorders>
              <w:top w:val="none"/>
              <w:left w:val="none"/>
              <w:bottom w:val="none"/>
              <w:right w:val="none"/>
            </w:tcBorders>
            <w:tcMar>
              <w:top w:type="dxa" w:w="60"/>
              <w:left w:type="dxa" w:w="120"/>
              <w:bottom w:type="dxa" w:w="60"/>
              <w:right w:type="dxa" w:w="60"/>
            </w:tcMar>
          </w:tcPr>
          <w:p>
            <w:r>
              <w:rPr>
                <w:rFonts w:ascii="Arial" w:cs="Arial" w:eastAsia="Arial" w:hAnsi="Arial"/>
                <w:sz w:val="16"/>
                <w:szCs w:val="16"/>
              </w:rPr>
              <w:t xml:space="preserve">B — Cultivation Biology &amp; Substrate Management (n = 16)</w:t>
            </w:r>
          </w:p>
        </w:tc>
      </w:tr>
      <w:tr>
        <w:tc>
          <w:tcPr>
            <w:tcW w:type="dxa" w:w="300"/>
            <w:tcBorders>
              <w:top w:val="single" w:color="AAAAAA" w:sz="4"/>
              <w:left w:val="single" w:color="AAAAAA" w:sz="4"/>
              <w:bottom w:val="single" w:color="AAAAAA" w:sz="4"/>
              <w:right w:val="single" w:color="AAAAAA" w:sz="4"/>
            </w:tcBorders>
            <w:shd w:fill="FFF2CC" w:val="clear"/>
            <w:tcMar>
              <w:top w:type="dxa" w:w="60"/>
              <w:left w:type="dxa" w:w="80"/>
              <w:bottom w:type="dxa" w:w="60"/>
              <w:right w:type="dxa" w:w="80"/>
            </w:tcMar>
          </w:tcPr>
          <w:p/>
        </w:tc>
        <w:tc>
          <w:tcPr>
            <w:tcW w:type="dxa" w:w="5700"/>
            <w:tcBorders>
              <w:top w:val="none"/>
              <w:left w:val="none"/>
              <w:bottom w:val="none"/>
              <w:right w:val="none"/>
            </w:tcBorders>
            <w:tcMar>
              <w:top w:type="dxa" w:w="60"/>
              <w:left w:type="dxa" w:w="120"/>
              <w:bottom w:type="dxa" w:w="60"/>
              <w:right w:type="dxa" w:w="60"/>
            </w:tcMar>
          </w:tcPr>
          <w:p>
            <w:r>
              <w:rPr>
                <w:rFonts w:ascii="Arial" w:cs="Arial" w:eastAsia="Arial" w:hAnsi="Arial"/>
                <w:sz w:val="16"/>
                <w:szCs w:val="16"/>
              </w:rPr>
              <w:t xml:space="preserve">C — Frameworks &amp; Methodological Review Standards (n = 8)</w:t>
            </w:r>
          </w:p>
        </w:tc>
      </w:tr>
    </w:tbl>
    <w:p>
      <w:pPr>
        <w:spacing w:after="80" w:before="80"/>
      </w:pPr>
      <w:r>
        <w:rPr>
          <w:rFonts w:ascii="Arial" w:cs="Arial" w:eastAsia="Arial" w:hAnsi="Arial"/>
          <w:i/>
          <w:iCs/>
          <w:color w:val="444444"/>
          <w:sz w:val="15"/>
          <w:szCs w:val="15"/>
        </w:rPr>
        <w:t xml:space="preserve">Note: Studies marked as 'nearest-to-inclusion excluded' are retained in this table for transparency and to document search sensitivity; they did not meet all PECOS inclusion criteria and were excluded from the primary thematic synthesis. Rows shaded by cluster. All citations use the same reference format as the main manuscript.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2280"/>
        <w:gridCol w:w="1100"/>
        <w:gridCol w:w="1000"/>
        <w:gridCol w:w="1200"/>
        <w:gridCol w:w="1400"/>
        <w:gridCol w:w="1400"/>
        <w:gridCol w:w="2200"/>
        <w:gridCol w:w="1100"/>
      </w:tblGrid>
      <w:tr>
        <w:trPr>
          <w:tblHeader/>
        </w:trPr>
        <w:tc>
          <w:tcPr>
            <w:tcW w:type="dxa" w:w="3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w:t>
            </w:r>
          </w:p>
        </w:tc>
        <w:tc>
          <w:tcPr>
            <w:tcW w:type="dxa" w:w="17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Author(s) &amp; Year</w:t>
            </w:r>
          </w:p>
        </w:tc>
        <w:tc>
          <w:tcPr>
            <w:tcW w:type="dxa" w:w="228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Full Citation</w:t>
            </w:r>
          </w:p>
        </w:tc>
        <w:tc>
          <w:tcPr>
            <w:tcW w:type="dxa" w:w="11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Thematic Cluster</w:t>
            </w:r>
          </w:p>
        </w:tc>
        <w:tc>
          <w:tcPr>
            <w:tcW w:type="dxa" w:w="10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Region / Scope</w:t>
            </w:r>
          </w:p>
        </w:tc>
        <w:tc>
          <w:tcPr>
            <w:tcW w:type="dxa" w:w="12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Study Design</w:t>
            </w:r>
          </w:p>
        </w:tc>
        <w:tc>
          <w:tcPr>
            <w:tcW w:type="dxa" w:w="14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Climate Variables Reported</w:t>
            </w:r>
          </w:p>
        </w:tc>
        <w:tc>
          <w:tcPr>
            <w:tcW w:type="dxa" w:w="14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Mushroom / Cultivation Variables</w:t>
            </w:r>
          </w:p>
        </w:tc>
        <w:tc>
          <w:tcPr>
            <w:tcW w:type="dxa" w:w="22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Key Contribution to Review</w:t>
            </w:r>
          </w:p>
        </w:tc>
        <w:tc>
          <w:tcPr>
            <w:tcW w:type="dxa" w:w="11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Notes</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Bagtasa (2017)</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Bagtasa, G. (2017). Contribution of tropical cyclones to rainfall in the Philippines. Journal of Climate, 30(10), 3621–3633. https://doi.org/10.1175/JCLI-D-16-0150.1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(all regions)</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 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ENSO phases; tropical cyclone rainfall; regional precipitation anomalies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Quantifies ENSO-phase modulation of cyclone-derived rainfall across Philippine island groups; foundational anchor for geographic exposure stratification</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anchor reference; forward-cited in review</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Bagtasa (2020)</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Bagtasa, G. (2020). Influence of Madden-Julian Oscillation on the intraseasonal variability of summer and winter monsoon rainfall in the Philippines. Journal of Climate, 33(22), 9581–9594. https://doi.org/10.1175/JCLI-D-20-0305.1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(all regions)</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 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MJO phase; monsoon rainfall; intraseasonal variability; Wheeler-Hendon RMM index</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MJO modulation of monsoon onset and dry-season breaks; establishes MJO as a required secondary covariate in Tier 1/2 roadmap designs</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anchor reference; forward-cited in review</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Lyon &amp; Camargo (2009)</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Lyon, B., &amp; Camargo, S. J. (2009). The seasonally varying influence of ENSO on rainfall and tropical cyclone activity in the Philippines. Climate Dynamics, 32(1), 125–141. https://doi.org/10.1007/s00382-008-0380-z</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(all regions)</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 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ENSO (ONI); seasonal rainfall; TC frequency; Indian Ocean SST co-variates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Establishes seasonally varying ENSO–rainfall teleconnection; highlights IOD co-modulation; key source for ENSO spatial heterogeneity across island groups</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anchor reference; forward-cited in review</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4</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Yumul et al. (2011)</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Yumul, G. P., Jr., Cruz, N. A., Servando, N. T., &amp; Dimalanta, C. B. (2011). Extreme weather events and related disasters in the Philippines, 2004–08. Disasters, 35(2), 362–382. https://doi.org/10.1111/j.1467-7717.2010.01216.x</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 event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La Niña; extreme rainfall; typhoon frequency; ENSO phase classification</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La Niña-associated amplification of extreme rainfall events and typhoon activity; key reference for La Niña agricultural exposure pathways</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anchor reference; forward-cited in review</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5</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Cao &amp; Wu (2020)</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Cao, X., &amp; Wu, R. (2020). Roles of the tropical Indian Ocean sea surface temperature in the El Niño-related Philippine rainfall variability. International Journal of Climatology, 40(11), 4773–4789. https://doi.org/10.1002/joc.6342</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(Luzon, Visayas)</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 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El Niño; Indian Ocean SST; IOD; Philippine rainfall variability</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Demonstrates IOD co-modulation of El Niño-related Philippine rainfall; validates IOD as secondary exposure covariate in roadmap</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Closest-to-inclusion excluded study; reviewed for mechanistic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6</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Villafuerte et al. (2014)</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Villafuerte, M. Q., II, Matsumoto, J., Akasaka, I., Takahashi, H. G., Kubota, H., &amp; Cinco, T. A. (2014). Long-term trends and variability of rainfall extremes in the Philippines. Atmospheric Research, 137, 1–13. https://doi.org/10.1016/j.atmosres.2013.09.021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Trend analysis; observational</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Rainfall extremes; ENSO; long-term variability; seasonal patterns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decadal trends in rainfall extremes linked to ENSO cycles; supports evidence of increasing macroclimatic variability affecting agricultural exposure</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teleconnection context; no production outcome</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7</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Cruz et al. (2013)</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Cruz, F. T., Narisma, G. T., Villafuerte, M. Q., II, Chua, K. U., &amp; Olaguera, L. M. (2013). A climatological analysis of the southwest monsoon rainfall in the Philippines. Atmospheric Research, 122, 609–616. https://doi.org/10.1016/j.atmosres.2012.12.011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climatology</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Southwest monsoon; ENSO; rainfall seasonality; Luzon precipitation</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Characterizes ENSO modulation of southwest monsoon; relevant to understanding seasonal humidity drivers affecting mushroom cultivation calendar</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regional climate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8</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Cinco et al. (2016)</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Cinco, T. A., de Guzman, R. G., Ortiz, A. M. D., Delfino, R. J. P., Lasco, R. D., Hilario, F. D., Juanillo, E. L., Barba, R., &amp; Ares, E. D. (2016). Observed trends and impacts of tropical cyclones in the Philippines. International Journal of Climatology, 36(14), 4638–4650. https://doi.org/10.1002/joc.4659</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trend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ENSO; TC frequency; rainfall; wind impacts; La Niña phase</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observed trends in TC landfall and rainfall impacts modulated by ENSO phase; contextualizes La Niña exposure risk for agricultural systems</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macroclimatic exposure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9</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Olaguera et al. (2018)</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Olaguera, L. M. P., Matsumoto, J., Kubota, H., Inoue, T., Cayanan, E. O., &amp; Hilario, F. D. (2018). Interdecadal shifts in the summer monsoon rainfall of the Philippines. Atmosphere, 9(12), 464. https://doi.org/10.3390/atmos9120464</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Interdecadal variability; summer monsoon; Pacific Decadal Oscillation; ENSO</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Identifies interdecadal shifts in monsoon that modulate the background state upon which ENSO variability operates; context for long-term study design</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climate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10</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Kubota &amp; Wang (2009)</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Kubota, H., &amp; Wang, B. (2009). How much do tropical cyclones affect seasonal and interannual rainfall variability over the western North Pacific region? Journal of Climate, 22(20), 5495–5510. https://doi.org/10.1175/2009JCLI2763.1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Western North Pacific / Philippines</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TC rainfall; seasonal variability; ENSO; western Pacific convection</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TC rainfall contribution to interannual variability in the Philippine region; contextualizes ENSO-modulated precipitation forcing</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regional climate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11</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Moron et al. (2009)</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Moron, V., Robertson, A. W., &amp; Boer, R. (2009). Spatial coherence and seasonal predictability of monsoon onset over Indonesia. Journal of Climate, 22(3), 840–850. https://doi.org/10.1175/2008JCLI2435.1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Indonesia / Southeast Asia (analog)</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Predictability study</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Monsoon onset; ENSO; seasonal predictability; maritime continent</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Methodological analog for ENSO-linked monsoon onset forecasting in maritime SE Asia; contextualizes seasonal forecasting for Philippine agriculture</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as regional methodological context; non-Philippine setting noted</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12</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Chang et al. (2005)</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Chang, C.-P., Wang, Z., McBride, J., &amp; Liu, C.-H. (2005). Annual cycle of Southeast Asia–Maritime Continent rainfall and the asymmetric monsoon transition. Journal of Climate, 18(2), 287–301. https://doi.org/10.1175/JCLI-3257.1</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Maritime Continent / Philippines</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Climatological analysis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Annual rainfall cycle; monsoon transition; ENSO teleconnection</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Characterizes the annual rainfall cycle across the Philippine maritime continent; underpins seasonal stratification assumptions in the roadmap</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seasonal climate structure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13</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Luo et al. (2016)</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Luo, J.-J., Liu, G., Hendon, H., Alves, O., &amp; Yamagata, T. (2016). Inter-basin sources for two-year predictability of the multi-year La Niña event in 2010–2012. Scientific Reports, 6, 26 597. https://doi.org/10.1038/srep26597</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 Philippine-relevant</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Climatological modeling</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La Niña predictability; IOD; Atlantic forcing; multi-year ENSO</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Demonstrates that extended La Niña events (2010–2012) have predictable precursors; motivates long-term panel design in Tier 2 roadmap</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multi-year ENSO exposure design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14</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Wang et al. (2003)</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Wang, B., Zhang, Q., &amp; Chan, J. C. L. (2003). Implied meridional motion driven by monsoon heating. Journal of the Atmospheric Sciences, 60(11), 1429–1448. https://doi.org/10.1175/1520-0469(2003)060&lt;1429:IMDDBM&gt;2.0.CO;2</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Pan-Asian monsoon region</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Theoretical / modeling</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Monsoon dynamics; ENSO–monsoon coupling; Hadley circulation</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Foundational theoretical context for ENSO–monsoon coupling; underpins mechanistic rationale for Philippine ENSO exposure characterization</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as theoretical climate context</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15</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Trenberth (1997)</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Trenberth, K. E. (1997). The definition of El Niño. Bulletin of the American Meteorological Society, 78(12), 2771–2777. https://doi.org/10.1175/1520-0477(1997)078&lt;2771:TDOENO&gt;2.0.CO;2</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Definition / methodological</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ONI definition; ENSO classification; SST anomaly thresholds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Provides the canonical ONI-based ENSO phase classification used in this review's search strategy and roadmap exposure specification</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as definitional reference for ENSO exposure metrics</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16</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Saji et al. (1999)</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Saji, N. H., Goswami, B. N., Vinayachandran, P. N., &amp; Yamagata, T. (1999). A dipole mode in the tropical Indian Ocean. Nature, 401, 360–363. https://doi.org/10.1038/43854</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Indian Ocean / global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Observational / climatological</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IOD; Dipole Mode Index (DMI); Indian Ocean SST dipole</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Defines the Indian Ocean Dipole (IOD) and the Dipole Mode Index; underpins IOD covariate specification in Tier 1/2 roadmap designs</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Foundational IOD reference</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17</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Wheeler &amp; Hendon (2004)</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Wheeler, M. C., &amp; Hendon, H. H. (2004). An all-season real-time multivariate MJO index: Development of an index for monitoring and prediction. Monthly Weather Review, 132(8), 1917–1932. https://doi.org/10.1175/1520-0493(2004)132&lt;1917:AARMMI&gt;2.0.CO;2</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Index development / methodological</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MJO; Real-time Multivariate MJO (RMM) index; intraseasonal variability</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Defines the Real-time Multivariate MJO (RMM) index recommended as the MJO covariate in Tier 1 and Tier 2 future study designs</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Foundational MJO reference</w:t>
            </w:r>
          </w:p>
        </w:tc>
      </w:tr>
      <w:tr>
        <w:tc>
          <w:tcPr>
            <w:tcW w:type="dxa" w:w="3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18</w:t>
            </w:r>
          </w:p>
        </w:tc>
        <w:tc>
          <w:tcPr>
            <w:tcW w:type="dxa" w:w="17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PAGASA (2018)</w:t>
            </w:r>
          </w:p>
        </w:tc>
        <w:tc>
          <w:tcPr>
            <w:tcW w:type="dxa" w:w="228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iCs/>
                <w:sz w:val="14"/>
                <w:szCs w:val="14"/>
              </w:rPr>
              <w:t xml:space="preserve">PAGASA (Philippine Atmospheric, Geophysical and Astronomical Services Administration). (2018). Climate of the Philippines. PAGASA Technical Report. Retrieved from https://www.pagasa.dost.gov.ph</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Climatology &amp; Teleconnections</w:t>
            </w:r>
          </w:p>
        </w:tc>
        <w:tc>
          <w:tcPr>
            <w:tcW w:type="dxa" w:w="10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w:t>
            </w:r>
          </w:p>
        </w:tc>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Technical report / institutional</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Climate zones; rainfall seasonality; ENSO response by region; temperature normals</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None (climate only)</w:t>
            </w:r>
          </w:p>
        </w:tc>
        <w:tc>
          <w:tcPr>
            <w:tcW w:type="dxa" w:w="2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the four Philippine climate types and regional ENSO response patterns; authoritative baseline for geographic exposure stratification in the roadmap</w:t>
            </w:r>
          </w:p>
        </w:tc>
        <w:tc>
          <w:tcPr>
            <w:tcW w:type="dxa" w:w="11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top"/>
          </w:tcPr>
          <w:p>
            <w:r>
              <w:rPr>
                <w:rFonts w:ascii="Arial" w:cs="Arial" w:eastAsia="Arial" w:hAnsi="Arial"/>
                <w:i w:val="false"/>
                <w:iCs w:val="false"/>
                <w:sz w:val="14"/>
                <w:szCs w:val="14"/>
              </w:rPr>
              <w:t xml:space="preserve">Institutional gray literature included per PRISMA-ScR 2020 scope</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19</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Chang &amp; Miles (2004)</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Chang, S.-T., &amp; Miles, P. G. (2004). Mushrooms: Cultivation, Nutritional Value, Medicinal Effect, and Environmental Impact (2nd ed.). CRC Press. https://doi.org/10.1201/9780203492086</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(foundational reference)</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Reference text / review</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relative humidity; substrate moisture; fruiting room microclimate</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V. volvacea; L. edodes — physiological thresholds; fruiting parameters; substrate management</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Foundational species-specific environmental threshold values (temperature, RH optima) used to anchor chamber trial treatment levels in Table 2 of the roadmap; classified as provisional pending local validation</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cultivation reference; treatment levels explicitly provisional per Appendix A</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20</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Karunarathna et al. (2025)</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Karunarathna, S. C., Tibpromma, S., Karunarathna, B. S., Dai, D., Kumla, J., Lu, W., Perera, R. H., Wang, M., Priyadarshani, T. D. C., Hapuarachchi, K. K., &amp; Suwannarach, N. (2026). Mushrooms in climate change mitigation: a comprehensive review. Frontiers in Microbiology, 16, 1727022. https://doi.org/10.3389/fmicb.2025.1727022</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(climate-mushroom linkage)</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Systematic review</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Climate change; temperature; humidity; substrate microbiome under humidity extremes</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V. volvacea; Pleurotus spp.; substrate competitors (Bacillus, Trichoderma); humidity sensitivity; contamination dynamics</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mushroom production responses to climate change parameters including humidity extremes; confirms V. volvacea humidity sensitivity and Trichoderma/Bacillus competitor dynamics under warm-humid conditions</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Key contemporary reference for cultivation biology × climate; verifiable indexed DOI</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21</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Wasser (2011)</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Wasser, S. P. (2011). Current findings, future trends, and unsolved problems in studies of medicinal mushrooms. Applied Microbiology and Biotechnology, 89(5), 1323–1332. https://doi.org/10.1007/s00253-010-3067-4</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Review</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Thermal stress; environmental requirements; medicinal compounds under stress</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Pleurotus spp.; L. edodes; physiological stress responses; bioactive compound profiles</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Contextualizes species-level physiological responses to environmental stress; relevant to heat-stress pathways and ROS cascade discussion</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cultivation biology context</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22</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Yin et al. (2015)</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Yin, C., Zheng, L., Zhu, J., Chen, L., &amp; Ma, A. (2015). Enhancing stress tolerance by overexpression of a methionine sulfoxide reductase A (MsrA) gene in Pleurotus ostreatus. Applied Microbiology and Biotechnology, 99(7), 3115–3126. https://doi.org/10.1007/s00253-014-6365-4</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China (molecular biology)</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 / molecular</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Heat stress; reactive oxygen species (ROS); membrane lipid peroxidation</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HSP70; HSP90; MsrA; mycelial growth arrest under thermal stress</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Provides molecular-level evidence for heat-stress pathway (HSP70/90 upregulation, ROS accumulation, mycelial growth arrest) in P. ostreatus; underpins mechanistic rationale in Discussion</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Key molecular biology reference; non-Philippine but species-specific</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23</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Zervakis et al. (2020)</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Zervakis, G. I., Ntougias, S., Gargano, M. L., Besi, M. I., Polemis, E., Typas, M. A., &amp; Sonnenberg, A. S. M. (2020). A reappraisal of the Pleurotus eryngii complex. Fungal Biology, 124(1), 60–85.</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Europe / Mediterranean</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Taxonomic / physiological review</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humidity; fruiting conditions; strain diversity</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Pleurotus spp. complex; fruiting body morphology; environmental adaptation</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Taxonomic reappraisal with physiological context for Pleurotus environmental adaptation; contextualizes heat-stress vulnerability in the genus</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Pleurotus cultivation biology context</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24</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Tan &amp; Moore (2007)</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Tan, Y. S., &amp; Moore, D. (2007). The use of ethylene as a morphogenetic signal in Pleurotus ostreatus and Volvariella volvacea. Mycological Research, 111(2), 219–224. https://doi.org/10.1016/j.mycres.2006.10.004</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UK (controlled environment)</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Ethylene; CO2; fruiting room atmosphere; temperature control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V. volvacea; primordia formation; fruiting trigger</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Demonstrates role of atmospheric composition alongside temperature in fruiting induction; relevant to controlled-environment trial design in Tier 1 roadmap</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fruiting physiology context</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25</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Philippoussis et al. (2001)</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Philippoussis, A., Zervakis, G., &amp; Diamantopoulou, P. (2001). Bioconversion of agricultural lignocellulosic wastes through the cultivation of the edible mushrooms Agrocybe aegerita, Volvariella volvacea and Pleurotus spp. on crops and lignocellulosic wastes. World Journal of Microbiology and Biotechnology, 17(2), 191–200.</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Mediterranean (substrate trials)</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Substrate temperature; moisture content; humidity management</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V. volvacea; P. ostreatus; substrate composition; biological efficiency; cropping cycle</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Substrate bioconversion data and cropping parameters for V. volvacea and Pleurotus; supports substrate moisture and humidity threshold assumptions</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substrate management context</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26</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Moonmoon et al. (2011)</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Moonmoon, M., Uddin, M. N., Ahmed, S., Shelly, N. J., &amp; Islam, M. S. (2011). Cultivation of different strains of king oyster mushroom (Pleurotus eryngii) on sawdust and rice straw in Bangladesh. Saudi Journal of Biological Sciences, 18(4), 323–328. https://doi.org/10.1016/j.sjbs.2011.07.001</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Bangladesh (tropical Asian analog)</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humidity; seasonal variation (monsoon period)</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eryngii (Pleurotus); biological efficiency; substrate type; seasonal yield variation</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Documents Pleurotus cultivation performance under tropical Asian seasonal conditions; methodological analog for Philippine smallholder trial designs</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as tropical Asian cultivation analog</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27</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Kuo et al. (2004)</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Kuo, M.-C., &amp; Huang, L.-C. (2004). Different behaviors of two strains of Lentinula edodes on sawdust logs under different temperature and humidity regimes. World Journal of Microbiology and Biotechnology, 20(3), 251–256.</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Taiwan (controlled environment)</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regimes; humidity; strain-specific thresholds; colonization time</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L. edodes; mycelial colonization; fruiting initiation; strain comparison</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Strain-specific temperature and humidity threshold data for L. edodes under controlled regimes in a closely analogous tropical Asian context; supports provisional treatment levels in Table 2</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L. edodes threshold context</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28</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Pedroso et al. (2025)</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Pedroso, M. L., Alagos, A. L. C., Esgrina, F. J. O., Habibun, J. F., Maun, J. N., &amp; Rodriguez, R. M. M. (2025). Maximizing Pleurotus ostreatus yield with sustainable agricultural waste substrates in Arakan, Cotabato, Philippines. Nusantara Bioscience, 17(1), 57–67. https://doi.org/10.13057/nusbiosci/n170107</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(Cotabato)</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 (substrate trial)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Hydroclimatic variables at provincial level; temperature; rainfall (contextual, not primary exposure)</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substrate type; biological efficiency; yield</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 oyster mushroom substrate trial with provincial hydroclimatic context; closest available production-climate linkage study; excluded from primary synthesis (no ENSO index; provincial-level climate only)</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Nearest-to-inclusion excluded study; verifiable indexed DOI confirmed</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29</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Villafuerte et al. (2025)</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Villafuerte, A. R., Maaño, R. C., De Castro, P. J. L., Chua, A. V., &amp; Ellazar, E. P. (2025). Precision Microclimate Control Using IoT for Enhanced Production of Pleurotus ostreatus. IOP Conference Series: Earth and Environmental Science, 1572, 012016.</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(multiple sites)</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Conference paper (IoT/precision agriculture)</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Microclimate (temperature, humidity) from IoT sensors; seasonal temperature notes</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yield; microclimate control; IoT sensors (DHT22/SHT series)</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 oyster mushroom IoT microclimate trial; conceptually aligned; excluded from primary synthesis (conference abstract without extractable primary data; no farm-level ENSO index)</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Nearest-to-inclusion excluded study; potential Tier 1 proto-dataset; non-indexed conference paper</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30</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DA-BAR (n.d.)</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Department of Agriculture Bureau of Agricultural Research (DA-BAR). (n.d.). Oyster mushroom production technology guide for smallholder farmers. DA-BAR Technical Bulletin. Manila: DA-BAR.</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Philippines (national; gray literature)</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Technical bulletin / extension guide</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Seasonal humidity guidance; rainfall seasonality notes; ambient temperature ranges</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substrate preparation; cropping schedule; yield targets; contamination management</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Multi-farm production data and substrate records from Central Luzon; excluded from primary synthesis (no climate covariate data; not indexed internationally); confirms production data exist in gray literature unpaired with ENSO data</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Nearest-to-inclusion gray literature; included as contextual background only</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31</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Royse et al. (2017)</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Royse, D. J., Baars, J., &amp; Tan, Q. (2017). Current overview of mushroom production in the world. In D. Zied &amp; A. Pardo-Gimenez (Eds.), Edible and Medicinal Mushrooms: Technology and Applications. Wiley-Blackwell.</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Book chapter / review</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humidity; substrate moisture; seasonal production patterns</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V. volvacea; L. edodes; global production trends; species-specific requirements</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production overview with species-specific environmental requirements; contextualizes Philippine production within global sector trends</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cultivation biology context</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32</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Quimio et al. (1990)</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Quimio, T. H., Chang, S.-T., &amp; Royse, D. J. (1990). Technical guidelines for mushroom growing in the tropics. FAO Plant Production and Protection Paper 106. FAO, Rome.</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Tropical Asia (Philippines focus)</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Technical guidelines / FAO report</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Tropical temperature and humidity management; substrate moisture; ventilation</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 ostreatus; V. volvacea; L. edodes; tropical cultivation adaptation; smallholder systems</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Earliest foundational guide for tropical mushroom cultivation including Philippine conditions; documents climate-management practices predating ENSO systematic research</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as foundational Philippine-relevant cultivation reference</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33</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Bano &amp; Srivastava (1962)</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Bano, Z., &amp; Srivastava, H. C. (1962). Cultivation of Volvariella volvacea. Mushroom Science, 5, 155–162.</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India (historical baseline)</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Experimental</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humidity; substrate type; seasonal cultivation</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V. volvacea; fruiting parameters; thermal optima; heat tolerance</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Historical primary data establishing V. volvacea thermal optima (30–35°C) still cited in foundational texts; underpins provisional threshold values in Table 2</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as historical baseline for V. volvacea thermal physiology</w:t>
            </w:r>
          </w:p>
        </w:tc>
      </w:tr>
      <w:tr>
        <w:tc>
          <w:tcPr>
            <w:tcW w:type="dxa" w:w="3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34</w:t>
            </w:r>
          </w:p>
        </w:tc>
        <w:tc>
          <w:tcPr>
            <w:tcW w:type="dxa" w:w="17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Mao &amp; Zhu (2020)</w:t>
            </w:r>
          </w:p>
        </w:tc>
        <w:tc>
          <w:tcPr>
            <w:tcW w:type="dxa" w:w="228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iCs/>
                <w:sz w:val="14"/>
                <w:szCs w:val="14"/>
              </w:rPr>
              <w:t xml:space="preserve">Mao, X., &amp; Zhu, J. (2020). Advances in the molecular mechanisms of mushroom fruiting body development. Microorganisms, 8(11), 1823. https://doi.org/10.3390/microorganisms8111823</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Cultivation Biology</w:t>
            </w:r>
          </w:p>
        </w:tc>
        <w:tc>
          <w:tcPr>
            <w:tcW w:type="dxa" w:w="10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China (molecular review)</w:t>
            </w:r>
          </w:p>
        </w:tc>
        <w:tc>
          <w:tcPr>
            <w:tcW w:type="dxa" w:w="1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Molecular biology review</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Temperature signaling; light; CO2; humidity as fruiting triggers</w:t>
            </w:r>
          </w:p>
        </w:tc>
        <w:tc>
          <w:tcPr>
            <w:tcW w:type="dxa" w:w="14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Pleurotus spp.; L. edodes; fruiting body initiation; molecular pathways; gene expression</w:t>
            </w:r>
          </w:p>
        </w:tc>
        <w:tc>
          <w:tcPr>
            <w:tcW w:type="dxa" w:w="22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Reviews molecular mechanisms of fruiting body development regulated by temperature and humidity; relevant to understanding mechanistic pathways from macroclimate to farm-level outcomes</w:t>
            </w:r>
          </w:p>
        </w:tc>
        <w:tc>
          <w:tcPr>
            <w:tcW w:type="dxa" w:w="1100"/>
            <w:tcBorders>
              <w:top w:val="single" w:color="AAAAAA" w:sz="4"/>
              <w:left w:val="single" w:color="AAAAAA" w:sz="4"/>
              <w:bottom w:val="single" w:color="AAAAAA" w:sz="4"/>
              <w:right w:val="single" w:color="AAAAAA" w:sz="4"/>
            </w:tcBorders>
            <w:shd w:fill="E2EFD8"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molecular biology context supporting mechanistic framework</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35</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Tricco et al. (2018)</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Tricco, A. C., Lillie, E., Zarin, W., O'Brien, K. K., Colquhoun, H., Levac, D., Moher, D., Peters, M. D. J., Horsley, T., Weeks, L., Hempel, S., Bhatt, P., Mehta, A., Whitmore, C., Cardoso, R., Chen, Z., Lampard, E. V., Lawrence, P., Lisi, S., Scott, P., Koslow, M., &amp; Straus, S. E. (2018). PRISMA Extension for Scoping Reviews (PRISMA-ScR): Checklist and explanation. Annals of Internal Medicine, 169(7), 467–473. https://doi.org/10.7326/m18-0850</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(methodological)</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Methodological guideline / checklist</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(methodological framework)</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(methodological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PRISMA-ScR 2020 checklist defining reporting standards for scoping reviews; primary methodological framework governing this review's conduct and reporting</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methodological reference</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36</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Gasparrini (2010)</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Gasparrini, A. (2010). Distributed lag non-linear models. Statistics in Medicine, 29(21), 2224–2234. https://doi.org/10.1002/sim.3940</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(statistical methods)</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Methodological / statistical</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Distributed lag structures; non-linear exposure-response; climate-health modeling</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(statistical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Foundational reference for DLNM specification in Tier 2 roadmap; specifies the natural cubic spline distributed lag structure recommended for climate-agriculture exposure-response modeling</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statistical methods reference for Tier 2 roadmap</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37</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Banerjee et al. (2014)</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Banerjee, S., Carlin, B. P., &amp; Gelfand, A. E. (2014). Hierarchical Modeling and Analysis for Spatial Data (2nd ed.). CRC Press. https://doi.org/10.1201/9781003401728</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(statistical methods)</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Textbook / methodological reference</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Spatiotemporal Bayesian modeling; Matérn covariance; spatial random effects</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(statistical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Specifies Bayesian hierarchical spatiotemporal model with Matérn covariance structure recommended for Tier 2 multi-region ENSO-mushroom analysis</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Bayesian methods reference for Tier 2 roadmap</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38</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Landis &amp; Koch (1977)</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Landis, J. R., &amp; Koch, G. G. (1977). The measurement of observer agreement for categorical data. Biometrics, 33(1), 159–174. https://doi.org/10.2307/2529310</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(statistical methods)</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Statistical methods paper</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Inter-rater agreement; Cohen's kappa classification</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(statistical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Provides the kappa interpretation thresholds used to classify inter-rater agreement at title/abstract (κ = 0.83) and full-text (κ = 0.86) screening stages</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statistical reference for screening reliability</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39</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Pan (2001)</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Pan, W. (2001). Akaike's information criterion in generalized estimating equations. Biometrics, 57(1), 120–125. https://doi.org/10.1111/j.0006-341X.2001.00120.x</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(statistical methods)</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Statistical methods paper</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GEE; AIC for correlated data; cluster-robust standard errors</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(statistical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GEE model selection reference; provides basis for the cluster minimum (≥40 clusters for reliable GEE SEs) cited in Table 2 Tier 2 statistical model specification</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GEE methods reference</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40</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Wooldridge (2010)</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Wooldridge, J. M. (2010). Econometric Analysis of Cross Section and Panel Data (2nd ed.). MIT Press.</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(econometrics / panel data)</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Textbook / methodological reference</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Panel data; fixed and random effects; Hausman specification test; Kenward-Roger df corrections</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(statistical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Provides econometric basis for panel fixed-effects models and Hausman test recommended in Tier 2 roadmap; Kenward-Roger correction for small-sample inference cited for Tier 1 (&lt;20 farms)</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panel data methods reference</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41</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Yelland et al. (2011)</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Yelland, L. N., Salter, A. B., &amp; Ryan, P. (2011). Performance of the modified likelihood ratio test in small samples with an application to cluster randomized trials. Statistical Methods in Medical Research, 20(4), 373–383. https://doi.org/10.1093/aje/kwr183</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(statistical methods)</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Statistical methods paper</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Cluster adequacy; small-sample corrections; cluster randomized trials</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(statistical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Provides empirical basis for cluster adequacy thresholds cited in Table 2 (Tier 1: ≥8 farms; Tier 2: ≥40 clusters); relevant to GEE and mixed-effects power estimation</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Primary cluster adequacy reference</w:t>
            </w:r>
          </w:p>
        </w:tc>
      </w:tr>
      <w:tr>
        <w:tc>
          <w:tcPr>
            <w:tcW w:type="dxa" w:w="3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pPr>
              <w:jc w:val="center"/>
            </w:pPr>
            <w:r>
              <w:rPr>
                <w:rFonts w:ascii="Arial" w:cs="Arial" w:eastAsia="Arial" w:hAnsi="Arial"/>
                <w:b/>
                <w:bCs/>
                <w:sz w:val="14"/>
                <w:szCs w:val="14"/>
              </w:rPr>
              <w:t xml:space="preserve">42</w:t>
            </w:r>
          </w:p>
        </w:tc>
        <w:tc>
          <w:tcPr>
            <w:tcW w:type="dxa" w:w="17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Peters et al. (2020)</w:t>
            </w:r>
          </w:p>
        </w:tc>
        <w:tc>
          <w:tcPr>
            <w:tcW w:type="dxa" w:w="228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iCs/>
                <w:sz w:val="14"/>
                <w:szCs w:val="14"/>
              </w:rPr>
              <w:t xml:space="preserve">Peters, M. D. J., Marnie, C., Tricco, A. C., Pollock, D., Munn, Z., Alexander, L., McInerney, P., Godfrey, C. M., &amp; Khalil, H. (2020). Updated methodological guidance for the conduct of scoping reviews. JBI Evidence Synthesis, 18(10), 2119–2126. https://doi.org/10.11124/JBIES-20-00167</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Frameworks &amp; Methods</w:t>
            </w:r>
          </w:p>
        </w:tc>
        <w:tc>
          <w:tcPr>
            <w:tcW w:type="dxa" w:w="1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Global (methodological)</w:t>
            </w:r>
          </w:p>
        </w:tc>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Methodological guideline</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(methodological framework)</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None (methodological framework)</w:t>
            </w:r>
          </w:p>
        </w:tc>
        <w:tc>
          <w:tcPr>
            <w:tcW w:type="dxa" w:w="2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Updated JBI guidance on scoping review conduct; supports PRISMA-ScR reporting decisions and the justification for omitting critical appraisal (consistent with scoping review methodology)</w:t>
            </w:r>
          </w:p>
        </w:tc>
        <w:tc>
          <w:tcPr>
            <w:tcW w:type="dxa" w:w="11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top"/>
          </w:tcPr>
          <w:p>
            <w:r>
              <w:rPr>
                <w:rFonts w:ascii="Arial" w:cs="Arial" w:eastAsia="Arial" w:hAnsi="Arial"/>
                <w:i w:val="false"/>
                <w:iCs w:val="false"/>
                <w:sz w:val="14"/>
                <w:szCs w:val="14"/>
              </w:rPr>
              <w:t xml:space="preserve">Included for PRISMA-ScR methodological context</w:t>
            </w:r>
          </w:p>
        </w:tc>
      </w:tr>
    </w:tbl>
    <w:p>
      <w:pPr>
        <w:pBdr>
          <w:top w:val="single" w:color="AAAAAA" w:sz="4" w:space="4"/>
        </w:pBdr>
        <w:spacing w:after="0" w:before="160"/>
      </w:pPr>
    </w:p>
    <w:p>
      <w:pPr>
        <w:spacing w:after="0" w:before="80"/>
      </w:pPr>
      <w:r>
        <w:rPr>
          <w:rFonts w:ascii="Arial" w:cs="Arial" w:eastAsia="Arial" w:hAnsi="Arial"/>
          <w:i/>
          <w:iCs/>
          <w:color w:val="777777"/>
          <w:sz w:val="15"/>
          <w:szCs w:val="15"/>
        </w:rPr>
        <w:t xml:space="preserve">Supplementary Table S1 | David &amp; Soriano | ENSO–Mushroom Production Linkages in the Philippines | Fungal Biology (2025) | Total included studies: n = 42 (Cluster A: 18; Cluster B: 16; Cluster C: 8)</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S1-</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5"/>
        <w:szCs w:val="15"/>
      </w:rPr>
      <w:t xml:space="preserve">Supplementary Table S1 — Included Studies (n = 42) | David &amp; Soriano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2026-06-24T02:21:23.342Z</dcterms:created>
  <dcterms:modified xsi:type="dcterms:W3CDTF">2026-06-24T02:21:23.346Z</dcterms:modified>
</cp:coreProperties>
</file>

<file path=docProps/custom.xml><?xml version="1.0" encoding="utf-8"?>
<Properties xmlns="http://schemas.openxmlformats.org/officeDocument/2006/custom-properties" xmlns:vt="http://schemas.openxmlformats.org/officeDocument/2006/docPropsVTypes"/>
</file>