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D1E"/>
          <w:sz w:val="44"/>
          <w:szCs w:val="44"/>
        </w:rPr>
        <w:t xml:space="preserve">EFETIVA OS</w:t>
      </w:r>
    </w:p>
    <w:p>
      <w:pPr>
        <w:spacing w:after="40"/>
      </w:pPr>
      <w:r>
        <w:rPr>
          <w:b/>
          <w:bCs/>
          <w:color w:val="0F9D7A"/>
          <w:sz w:val="24"/>
          <w:szCs w:val="24"/>
        </w:rPr>
        <w:t xml:space="preserve">Sistema de Gestão Administrativa — Documento de Especificação do MVP</w:t>
      </w:r>
    </w:p>
    <w:p>
      <w:pPr>
        <w:spacing w:after="400"/>
      </w:pPr>
      <w:r>
        <w:rPr>
          <w:i/>
          <w:iCs/>
          <w:color w:val="5B6167"/>
          <w:sz w:val="18"/>
          <w:szCs w:val="18"/>
        </w:rPr>
        <w:t xml:space="preserve">Versão 0.1 · Ativerso Soluções Digitais para Efetiva SST · Agosto 2026</w:t>
      </w:r>
    </w:p>
    <w:p>
      <w:pPr>
        <w:pStyle w:val="Heading1"/>
        <w:spacing w:after="160" w:before="360"/>
      </w:pPr>
      <w:r>
        <w:rPr>
          <w:b/>
          <w:bCs/>
          <w:color w:val="1A1D1E"/>
          <w:sz w:val="28"/>
          <w:szCs w:val="28"/>
        </w:rPr>
        <w:t xml:space="preserve">1. Visão Geral</w:t>
      </w:r>
    </w:p>
    <w:p>
      <w:pPr>
        <w:pStyle w:val="Heading2"/>
        <w:spacing w:after="120" w:before="280"/>
      </w:pPr>
      <w:r>
        <w:rPr>
          <w:b/>
          <w:bCs/>
          <w:color w:val="0F9D7A"/>
          <w:sz w:val="24"/>
          <w:szCs w:val="24"/>
        </w:rPr>
        <w:t xml:space="preserve">1.1 Problema</w:t>
      </w:r>
    </w:p>
    <w:p>
      <w:pPr>
        <w:spacing w:after="160" w:line="300"/>
      </w:pPr>
      <w:r>
        <w:rPr>
          <w:color w:val="1A1D1E"/>
          <w:sz w:val="22"/>
          <w:szCs w:val="22"/>
        </w:rPr>
        <w:t xml:space="preserve">A Efetiva SST hoje conduz o controle financeiro (entradas e saídas) e o relacionamento com clientes de forma dispersa — planilhas soltas e registros no Notion sem integração entre si. Não há visão consolidada de fluxo de caixa, nem rastreabilidade clara entre contrato firmado e valores recebidos.</w:t>
      </w:r>
    </w:p>
    <w:p>
      <w:pPr>
        <w:pStyle w:val="Heading2"/>
        <w:spacing w:after="120" w:before="280"/>
      </w:pPr>
      <w:r>
        <w:rPr>
          <w:b/>
          <w:bCs/>
          <w:color w:val="0F9D7A"/>
          <w:sz w:val="24"/>
          <w:szCs w:val="24"/>
        </w:rPr>
        <w:t xml:space="preserve">1.2 Objetivo do MVP</w:t>
      </w:r>
    </w:p>
    <w:p>
      <w:pPr>
        <w:spacing w:after="160" w:line="300"/>
      </w:pPr>
      <w:r>
        <w:rPr>
          <w:color w:val="1A1D1E"/>
          <w:sz w:val="22"/>
          <w:szCs w:val="22"/>
        </w:rPr>
        <w:t xml:space="preserve">Centralizar, em um único PWA de uso interno, o controle financeiro (entradas, saídas e precificação) e um CRM leve (clientes e contratos), com acesso multiusuário para a equipe da Efetiva.</w:t>
      </w:r>
    </w:p>
    <w:p>
      <w:pPr>
        <w:pStyle w:val="Heading2"/>
        <w:spacing w:after="120" w:before="280"/>
      </w:pPr>
      <w:r>
        <w:rPr>
          <w:b/>
          <w:bCs/>
          <w:color w:val="0F9D7A"/>
          <w:sz w:val="24"/>
          <w:szCs w:val="24"/>
        </w:rPr>
        <w:t xml:space="preserve">1.3 Fora do escopo desta versão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Relatórios avançados / BI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Integrações bancárias automáticas (open finance, conciliação)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Portal de acesso para 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Automações de cobrança</w:t>
      </w:r>
    </w:p>
    <w:p>
      <w:pPr>
        <w:pStyle w:val="Heading1"/>
        <w:spacing w:after="160" w:before="360"/>
      </w:pPr>
      <w:r>
        <w:rPr>
          <w:b/>
          <w:bCs/>
          <w:color w:val="1A1D1E"/>
          <w:sz w:val="28"/>
          <w:szCs w:val="28"/>
        </w:rPr>
        <w:t xml:space="preserve">2. Público e Perfis de Acesso</w:t>
      </w:r>
    </w:p>
    <w:p>
      <w:pPr>
        <w:spacing w:after="160" w:line="300"/>
      </w:pPr>
      <w:r>
        <w:rPr>
          <w:color w:val="1A1D1E"/>
          <w:sz w:val="22"/>
          <w:szCs w:val="22"/>
        </w:rPr>
        <w:t xml:space="preserve">O sistema é de uso exclusivo interno (Rodrigo + equipe pequena da Efetiva). Dois perfis no MVP: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Admin — acesso total: configurações, precificação, todos os lançamentos e contratos.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Equipe — cadastro e edição de clientes/contratos, lançamentos financeiros; sem acesso a configurações sensíveis de precificação.</w:t>
      </w:r>
    </w:p>
    <w:p>
      <w:pPr>
        <w:spacing w:after="160" w:line="300"/>
      </w:pPr>
      <w:r>
        <w:rPr>
          <w:color w:val="1A1D1E"/>
          <w:sz w:val="22"/>
          <w:szCs w:val="22"/>
        </w:rPr>
        <w:t xml:space="preserve">Controle de acesso via Supabase Auth + Row Level Security (RLS) — requisito de dia 1, não item de versão futura, por lidar com dados financeiros reais da empresa.</w:t>
      </w:r>
    </w:p>
    <w:p>
      <w:pPr>
        <w:pStyle w:val="Heading1"/>
        <w:spacing w:after="160" w:before="360"/>
      </w:pPr>
      <w:r>
        <w:rPr>
          <w:b/>
          <w:bCs/>
          <w:color w:val="1A1D1E"/>
          <w:sz w:val="28"/>
          <w:szCs w:val="28"/>
        </w:rPr>
        <w:t xml:space="preserve">3. Escopo Funcional do MVP</w:t>
      </w:r>
    </w:p>
    <w:p>
      <w:pPr>
        <w:pStyle w:val="Heading2"/>
        <w:spacing w:after="120" w:before="280"/>
      </w:pPr>
      <w:r>
        <w:rPr>
          <w:b/>
          <w:bCs/>
          <w:color w:val="0F9D7A"/>
          <w:sz w:val="24"/>
          <w:szCs w:val="24"/>
        </w:rPr>
        <w:t xml:space="preserve">3.1 Módulo CRM leve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Cadastro de clientes (dados da empresa, contato, segmento)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Contratos vinculados a um cliente (serviço, valor, recorrência, vigência,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Listagem e busca de clientes/contratos por status</w:t>
      </w:r>
    </w:p>
    <w:p>
      <w:pPr>
        <w:pStyle w:val="Heading2"/>
        <w:spacing w:after="120" w:before="280"/>
      </w:pPr>
      <w:r>
        <w:rPr>
          <w:b/>
          <w:bCs/>
          <w:color w:val="0F9D7A"/>
          <w:sz w:val="24"/>
          <w:szCs w:val="24"/>
        </w:rPr>
        <w:t xml:space="preserve">3.2 Módulo Financeiro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Lançamentos de entrada e saída, com categoria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Categorias financeiras configuráveis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Vínculo opcional entre lançamento e contrato (rastreabilidade de receita)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Visão de fluxo de caixa mensal (saldo, entradas, saídas)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Tabela de precificação — reaproveitando a lógica já usada no Notion, indexada por CUB e grau de risco NR-4</w:t>
      </w:r>
    </w:p>
    <w:p>
      <w:pPr>
        <w:pStyle w:val="Heading2"/>
        <w:spacing w:after="120" w:before="280"/>
      </w:pPr>
      <w:r>
        <w:rPr>
          <w:b/>
          <w:bCs/>
          <w:color w:val="0F9D7A"/>
          <w:sz w:val="24"/>
          <w:szCs w:val="24"/>
        </w:rPr>
        <w:t xml:space="preserve">3.3 Motor de Preços</w:t>
      </w:r>
    </w:p>
    <w:p>
      <w:pPr>
        <w:spacing w:after="160" w:line="300"/>
      </w:pPr>
      <w:r>
        <w:rPr>
          <w:color w:val="1A1D1E"/>
          <w:sz w:val="22"/>
          <w:szCs w:val="22"/>
        </w:rPr>
        <w:t xml:space="preserve">Módulo dedicado a transformar cotações de fornecedores em preço final de repasse ao cliente, com margem aplicada de forma sistemática — hoje feito de forma manual/dispersa.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Cadastro de fornecedores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Registro de cotações/preços recebidos por fornecedor, por item ou serviço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Comparação automática entre cotações para identificar o melhor valor por 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Regras de margem (percentual ou fixa) por categoria ou 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Cálculo automático do valor de repasse ao cliente (melhor custo + margem)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Tabela/lista consolidada de preços prontos para uso na criação de contratos</w:t>
      </w:r>
    </w:p>
    <w:p>
      <w:pPr>
        <w:pStyle w:val="Heading2"/>
        <w:spacing w:after="120" w:before="280"/>
      </w:pPr>
      <w:r>
        <w:rPr>
          <w:b/>
          <w:bCs/>
          <w:color w:val="0F9D7A"/>
          <w:sz w:val="24"/>
          <w:szCs w:val="24"/>
        </w:rPr>
        <w:t xml:space="preserve">3.4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Saldo atual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Contratos ativos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Recebíveis pendentes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Alertas de vencimento de contrato</w:t>
      </w:r>
    </w:p>
    <w:p>
      <w:pPr>
        <w:pStyle w:val="Heading1"/>
        <w:spacing w:after="160" w:before="360"/>
      </w:pPr>
      <w:r>
        <w:rPr>
          <w:b/>
          <w:bCs/>
          <w:color w:val="1A1D1E"/>
          <w:sz w:val="28"/>
          <w:szCs w:val="28"/>
        </w:rPr>
        <w:t xml:space="preserve">4. Modelo de Dados (visão de alto nível)</w:t>
      </w:r>
    </w:p>
    <w:p>
      <w:pPr>
        <w:spacing w:after="160" w:line="300"/>
      </w:pPr>
      <w:r>
        <w:rPr>
          <w:color w:val="1A1D1E"/>
          <w:sz w:val="22"/>
          <w:szCs w:val="22"/>
        </w:rPr>
        <w:t xml:space="preserve">Entidades centrais do MVP e como se relacionam. Detalhamento de colunas e constraints fica para a etapa de schema no Supabase.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500"/>
      </w:tblGrid>
      <w:tr>
        <w:trPr>
          <w:tblHeader/>
        </w:trPr>
        <w:tc>
          <w:tcPr>
            <w:tcW w:type="dxa" w:w="1800"/>
            <w:shd w:fill="1A1D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2600"/>
            <w:shd w:fill="1A1D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tcW w:type="dxa" w:w="4500"/>
            <w:shd w:fill="1A1D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Relacionamentos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clients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nome, cnpj/cpf, segmento, contato, status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1:N com contracts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contracts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cliente_id, serviço, valor, recorrência, vigência, status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N:1 com clients · 1:N com financial_entries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financial_entries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tipo (entrada/saída), valor, data, categoria_id, contrato_id (opcional)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N:1 com financial_categories · N:1 com contracts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financial_categories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nome, tipo, cor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1:N com financial_entries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pricing_table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grau_de_risco_nr4, cub_referência, valor_base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referenciada na criação de contracts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suppliers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nome, categoria, contato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1:N com supplier_quotes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supplier_quotes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fornecedor_id, item/serviço, valor, data_cotação, validade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N:1 com suppliers · alimenta price_list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margin_rules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categoria/item, margem (% ou fixa)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aplicada no cálculo de price_list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price_list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item, melhor_valor_fornecedor, margem_aplicada, valor_repasse_cliente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deriva de supplier_quotes + margin_rules · referenciada em contracts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profiles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user_id, nome, role (admin/equipe)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controla RLS em todas as tabelas acima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1D1E"/>
          <w:sz w:val="28"/>
          <w:szCs w:val="28"/>
        </w:rPr>
        <w:t xml:space="preserve">5. Arquitetura Técnica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Stack: React + TypeScript + Vite + Tailwind + Zustand + Supabase + Cloudflare Pages (mesma base validada nos outros produtos da Ativerso)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Sem offline-first no MVP — é um sistema de uso interno em escritório, diferente de Risco360/FireCheck que operam em campo sem sinal. Decisão registrada para evitar complexidade desnecessária na v1.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PWA instalável, com manifest completo (ícones PNG, não apenas SVG) e service worker simples (sem cache agressivo de dados financeiros)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Code-splitting por rota desde o início — aprendizado direto do audit do Efetiva Gestão, que acumulou ~900KB de bundle monolítico por falta dessa prática desde o começo</w:t>
      </w:r>
    </w:p>
    <w:p>
      <w:pPr>
        <w:pStyle w:val="Heading1"/>
        <w:spacing w:after="160" w:before="360"/>
      </w:pPr>
      <w:r>
        <w:rPr>
          <w:b/>
          <w:bCs/>
          <w:color w:val="1A1D1E"/>
          <w:sz w:val="28"/>
          <w:szCs w:val="28"/>
        </w:rPr>
        <w:t xml:space="preserve">6. Fluxo Principal</w:t>
      </w:r>
    </w:p>
    <w:p>
      <w:pPr>
        <w:spacing w:after="160" w:line="300"/>
      </w:pPr>
      <w:r>
        <w:rPr>
          <w:color w:val="1A1D1E"/>
          <w:sz w:val="22"/>
          <w:szCs w:val="22"/>
        </w:rPr>
        <w:t xml:space="preserve">Cadastra cliente → cria contrato vinculado ao cliente → lançamentos financeiros são registrados manualmente ou vinculados ao contrato → dashboard reflete saldo, contratos ativos e pendências em tempo real.</w:t>
      </w:r>
    </w:p>
    <w:p>
      <w:pPr>
        <w:pStyle w:val="Heading1"/>
        <w:spacing w:after="160" w:before="360"/>
      </w:pPr>
      <w:r>
        <w:rPr>
          <w:b/>
          <w:bCs/>
          <w:color w:val="1A1D1E"/>
          <w:sz w:val="28"/>
          <w:szCs w:val="28"/>
        </w:rPr>
        <w:t xml:space="preserve">7. Roadmap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600"/>
      </w:tblGrid>
      <w:tr>
        <w:trPr>
          <w:tblHeader/>
        </w:trPr>
        <w:tc>
          <w:tcPr>
            <w:tcW w:type="dxa" w:w="1600"/>
            <w:shd w:fill="1A1D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700"/>
            <w:shd w:fill="1A1D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3600"/>
            <w:shd w:fill="1A1D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Fora do escopo desta fase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Fase 1 — MVP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CRM leve (clientes/contratos) + Financeiro (lançamentos, categorias, fluxo de caixa) + Motor de Preços (fornecedores, cotações, margem e cálculo de repasse) + Dashboard básico + Auth com RLS multiusuário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Relatórios avançados, integrações bancárias, portal do cliente, automações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Fase 2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DRE simplificado, alertas de vencimento de contrato, exportação (CSV/PDF), precificação completa por grau de risco NR-4/CUB, histórico de variação de preço por fornecedor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Integrações bancárias automáticas, app mobile nativo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Fase 3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Portal do cliente (visualização de contratos e documentos), integrações bancárias, automações de cobrança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1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A1D1E"/>
          <w:sz w:val="28"/>
          <w:szCs w:val="28"/>
        </w:rPr>
        <w:t xml:space="preserve">8. Requisitos Não Funcionais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Segurança: RLS obrigatório em todas as tabelas com dados financeiros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Performance: bundle inicial enxuto, code-splitting por rota, sem repetir o problema identificado no Efetiva Gestão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Instalabilidade: PWA com manifest correto (ícones, lang, orientação adequada à densidade de dados de um ERP)</w:t>
      </w:r>
    </w:p>
    <w:p>
      <w:pPr>
        <w:pStyle w:val="Heading1"/>
        <w:spacing w:after="160" w:before="360"/>
      </w:pPr>
      <w:r>
        <w:rPr>
          <w:b/>
          <w:bCs/>
          <w:color w:val="1A1D1E"/>
          <w:sz w:val="28"/>
          <w:szCs w:val="28"/>
        </w:rPr>
        <w:t xml:space="preserve">9. Decisões em Aberto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Nome definitivo do sistema ("Efetiva OS" é título de trabalho)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Se a precificação completa (CUB + grau de risco NR-4) entra na v1 ou fica simplificada para a Fase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Se contratos recorrentes geram lançamento financeiro automático ou exigem confirmação manual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Se a margem no Motor de Preços é única para toda a Efetiva ou configurável por categoria/item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D1E"/>
          <w:sz w:val="22"/>
          <w:szCs w:val="22"/>
        </w:rPr>
        <w:t xml:space="preserve">Se cotações vencidas (fora da validade) somem da comparação automaticamente ou ficam sinalizadas para revisão manual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167"/>
        <w:sz w:val="16"/>
        <w:szCs w:val="16"/>
      </w:rPr>
      <w:t xml:space="preserve">Página </w:t>
    </w:r>
    <w:r>
      <w:rPr>
        <w:color w:val="5B616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167"/>
        <w:sz w:val="16"/>
        <w:szCs w:val="16"/>
      </w:rPr>
      <w:t xml:space="preserve">EFETIVA OS · DOCUMENTO DE ESPECIFICAÇÃO —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2026-08-23T11:52:22.645Z</dcterms:created>
  <dcterms:modified xsi:type="dcterms:W3CDTF">2026-08-23T11:52:22.658Z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